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BF5739"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BF5739"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BF5739"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BF5739"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BF5739"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206FE9" w14:paraId="5AF72189" w14:textId="4A0439CA">
            <w:pPr>
              <w:pStyle w:val="Default"/>
              <w:rPr>
                <w:color w:val="auto"/>
                <w:lang w:val="en-GB" w:eastAsia="ro-RO"/>
              </w:rPr>
            </w:pPr>
            <w:r>
              <w:rPr>
                <w:color w:val="auto"/>
                <w:lang w:val="en-GB" w:eastAsia="ro-RO"/>
              </w:rPr>
              <w:t>Bachelor</w:t>
            </w:r>
          </w:p>
        </w:tc>
      </w:tr>
      <w:tr w:rsidRPr="00667581" w:rsidR="00667581" w:rsidTr="00BF5739"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206FE9" w14:paraId="23283235" w14:textId="24322FB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206FE9" w14:paraId="01E773EB" w14:textId="77E74B52">
            <w:pPr>
              <w:pStyle w:val="Default"/>
              <w:rPr>
                <w:color w:val="auto"/>
                <w:lang w:val="en-GB" w:eastAsia="ro-RO"/>
              </w:rPr>
            </w:pPr>
            <w:r w:rsidRPr="0011179E">
              <w:rPr>
                <w:lang w:val="ro-RO"/>
              </w:rPr>
              <w:t>Cod</w:t>
            </w:r>
            <w:r w:rsidR="00320AAC">
              <w:rPr>
                <w:lang w:val="ro-RO"/>
              </w:rPr>
              <w:t>e</w:t>
            </w:r>
            <w:r w:rsidRPr="0011179E">
              <w:rPr>
                <w:lang w:val="ro-RO"/>
              </w:rPr>
              <w:t xml:space="preserve"> LLU0011</w:t>
            </w:r>
            <w:r>
              <w:rPr>
                <w:lang w:val="ro-RO"/>
              </w:rPr>
              <w:t xml:space="preserve"> English for specific </w:t>
            </w:r>
            <w:proofErr w:type="spellStart"/>
            <w:r>
              <w:rPr>
                <w:lang w:val="ro-RO"/>
              </w:rPr>
              <w:t>purposes</w:t>
            </w:r>
            <w:proofErr w:type="spellEnd"/>
            <w:r>
              <w:rPr>
                <w:lang w:val="ro-RO"/>
              </w:rPr>
              <w:t xml:space="preserve"> – </w:t>
            </w:r>
            <w:proofErr w:type="spellStart"/>
            <w:r>
              <w:rPr>
                <w:lang w:val="ro-RO"/>
              </w:rPr>
              <w:t>practical</w:t>
            </w:r>
            <w:proofErr w:type="spellEnd"/>
            <w:r>
              <w:rPr>
                <w:lang w:val="ro-RO"/>
              </w:rPr>
              <w:t xml:space="preserve"> </w:t>
            </w:r>
            <w:proofErr w:type="spellStart"/>
            <w:r>
              <w:rPr>
                <w:lang w:val="ro-RO"/>
              </w:rPr>
              <w:t>course</w:t>
            </w:r>
            <w:proofErr w:type="spellEnd"/>
          </w:p>
        </w:tc>
      </w:tr>
      <w:tr w:rsidRPr="00667581"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206FE9" w14:paraId="07919756" w14:textId="4D1EC35D">
            <w:pPr>
              <w:pStyle w:val="Default"/>
              <w:rPr>
                <w:color w:val="auto"/>
                <w:lang w:val="en-GB" w:eastAsia="ro-RO"/>
              </w:rPr>
            </w:pPr>
            <w:r>
              <w:rPr>
                <w:color w:val="auto"/>
                <w:lang w:val="en-GB" w:eastAsia="ro-RO"/>
              </w:rPr>
              <w:t xml:space="preserve">Lecturer </w:t>
            </w:r>
            <w:r w:rsidRPr="0011179E">
              <w:rPr>
                <w:lang w:val="ro-RO"/>
              </w:rPr>
              <w:t>ELENA PĂCURAR</w:t>
            </w:r>
            <w:r>
              <w:rPr>
                <w:lang w:val="ro-RO"/>
              </w:rPr>
              <w:t xml:space="preserve"> </w:t>
            </w:r>
            <w:proofErr w:type="spellStart"/>
            <w:r>
              <w:rPr>
                <w:lang w:val="ro-RO"/>
              </w:rPr>
              <w:t>PhD</w:t>
            </w:r>
            <w:proofErr w:type="spellEnd"/>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206FE9" w14:paraId="76E4277E" w14:textId="30399B88">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206FE9" w14:paraId="124BD977" w14:textId="2D107498">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206FE9" w14:paraId="44E92F9E" w14:textId="6B55A9EE">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206FE9" w14:paraId="49139415" w14:textId="50479C3B">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206FE9" w14:paraId="45C20FCC" w14:textId="7592AD5D">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BF5739"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206FE9" w14:paraId="1648052C" w14:textId="1711CBC3">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206FE9" w14:paraId="34D89D05" w14:textId="20C2BECD">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206FE9" w14:paraId="0158923E" w14:textId="6A1E7278">
            <w:pPr>
              <w:pStyle w:val="Default"/>
              <w:jc w:val="center"/>
              <w:rPr>
                <w:color w:val="auto"/>
                <w:lang w:val="en-GB" w:eastAsia="ro-RO"/>
              </w:rPr>
            </w:pPr>
            <w:r>
              <w:rPr>
                <w:color w:val="auto"/>
                <w:lang w:val="en-GB" w:eastAsia="ro-RO"/>
              </w:rPr>
              <w:t>2</w:t>
            </w:r>
          </w:p>
        </w:tc>
      </w:tr>
      <w:tr w:rsidRPr="00667581" w:rsidR="00667581" w:rsidTr="00BF5739"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206FE9" w14:paraId="7980CDC4" w14:textId="65873DCD">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206FE9" w14:paraId="31A23BB9" w14:textId="182FBB51">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206FE9" w14:paraId="3F2ED352" w14:textId="314DFEAB">
            <w:pPr>
              <w:pStyle w:val="Default"/>
              <w:jc w:val="center"/>
              <w:rPr>
                <w:color w:val="auto"/>
                <w:lang w:val="en-GB" w:eastAsia="ro-RO"/>
              </w:rPr>
            </w:pPr>
            <w:r>
              <w:rPr>
                <w:color w:val="auto"/>
                <w:lang w:val="en-GB" w:eastAsia="ro-RO"/>
              </w:rPr>
              <w:t>28</w:t>
            </w:r>
          </w:p>
        </w:tc>
      </w:tr>
      <w:tr w:rsidRPr="00667581" w:rsidR="00667581" w:rsidTr="00BF5739"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206FE9" w:rsidTr="00BF5739" w14:paraId="0A01D4D4" w14:textId="77777777">
        <w:trPr>
          <w:trHeight w:val="225"/>
        </w:trPr>
        <w:tc>
          <w:tcPr>
            <w:tcW w:w="4617" w:type="pct"/>
            <w:gridSpan w:val="5"/>
            <w:shd w:val="clear" w:color="auto" w:fill="auto"/>
          </w:tcPr>
          <w:p w:rsidRPr="00667581" w:rsidR="00206FE9" w:rsidP="00206FE9" w:rsidRDefault="00206FE9"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206FE9" w:rsidP="00206FE9" w:rsidRDefault="00206FE9" w14:paraId="07F98221" w14:textId="27B94E22">
            <w:pPr>
              <w:pStyle w:val="Default"/>
              <w:jc w:val="center"/>
              <w:rPr>
                <w:color w:val="auto"/>
                <w:lang w:val="en-GB" w:eastAsia="ro-RO"/>
              </w:rPr>
            </w:pPr>
            <w:r w:rsidRPr="0011179E">
              <w:rPr>
                <w:lang w:val="ro-RO"/>
              </w:rPr>
              <w:t>10</w:t>
            </w:r>
          </w:p>
        </w:tc>
      </w:tr>
      <w:tr w:rsidRPr="00667581" w:rsidR="00206FE9" w:rsidTr="00BF5739" w14:paraId="6D8C1422" w14:textId="77777777">
        <w:trPr>
          <w:trHeight w:val="225"/>
        </w:trPr>
        <w:tc>
          <w:tcPr>
            <w:tcW w:w="4617" w:type="pct"/>
            <w:gridSpan w:val="5"/>
            <w:shd w:val="clear" w:color="auto" w:fill="auto"/>
          </w:tcPr>
          <w:p w:rsidRPr="00667581" w:rsidR="00206FE9" w:rsidP="00206FE9" w:rsidRDefault="00206FE9"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206FE9" w:rsidP="00206FE9" w:rsidRDefault="00206FE9" w14:paraId="75021FD5" w14:textId="0AF7419A">
            <w:pPr>
              <w:pStyle w:val="Default"/>
              <w:jc w:val="center"/>
              <w:rPr>
                <w:color w:val="auto"/>
                <w:lang w:val="en-GB" w:eastAsia="ro-RO"/>
              </w:rPr>
            </w:pPr>
            <w:r w:rsidRPr="0011179E">
              <w:rPr>
                <w:lang w:val="ro-RO"/>
              </w:rPr>
              <w:t>15</w:t>
            </w:r>
          </w:p>
        </w:tc>
      </w:tr>
      <w:tr w:rsidRPr="00667581" w:rsidR="00206FE9" w:rsidTr="00BF5739" w14:paraId="7F9D3B20" w14:textId="77777777">
        <w:trPr>
          <w:trHeight w:val="225"/>
        </w:trPr>
        <w:tc>
          <w:tcPr>
            <w:tcW w:w="4617" w:type="pct"/>
            <w:gridSpan w:val="5"/>
            <w:shd w:val="clear" w:color="auto" w:fill="auto"/>
          </w:tcPr>
          <w:p w:rsidRPr="00667581" w:rsidR="00206FE9" w:rsidP="00206FE9" w:rsidRDefault="00206FE9"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206FE9" w:rsidP="00206FE9" w:rsidRDefault="00206FE9" w14:paraId="75D175B3" w14:textId="4A9C5CDA">
            <w:pPr>
              <w:pStyle w:val="Default"/>
              <w:jc w:val="center"/>
              <w:rPr>
                <w:color w:val="auto"/>
                <w:lang w:val="en-GB" w:eastAsia="ro-RO"/>
              </w:rPr>
            </w:pPr>
            <w:r w:rsidRPr="0011179E">
              <w:rPr>
                <w:lang w:val="ro-RO"/>
              </w:rPr>
              <w:t>10</w:t>
            </w:r>
          </w:p>
        </w:tc>
      </w:tr>
      <w:tr w:rsidRPr="00667581" w:rsidR="00206FE9" w:rsidTr="00BF5739" w14:paraId="1DD4E4B3" w14:textId="77777777">
        <w:trPr>
          <w:trHeight w:val="225"/>
        </w:trPr>
        <w:tc>
          <w:tcPr>
            <w:tcW w:w="4617" w:type="pct"/>
            <w:gridSpan w:val="5"/>
            <w:shd w:val="clear" w:color="auto" w:fill="auto"/>
          </w:tcPr>
          <w:p w:rsidRPr="00667581" w:rsidR="00206FE9" w:rsidP="00206FE9" w:rsidRDefault="00206FE9"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206FE9" w:rsidP="00206FE9" w:rsidRDefault="00206FE9" w14:paraId="606BACE6" w14:textId="6BA301F7">
            <w:pPr>
              <w:pStyle w:val="Default"/>
              <w:jc w:val="center"/>
              <w:rPr>
                <w:color w:val="auto"/>
                <w:lang w:val="en-GB" w:eastAsia="ro-RO"/>
              </w:rPr>
            </w:pPr>
            <w:r w:rsidRPr="0011179E">
              <w:rPr>
                <w:lang w:val="ro-RO"/>
              </w:rPr>
              <w:t>6</w:t>
            </w:r>
          </w:p>
        </w:tc>
      </w:tr>
      <w:tr w:rsidRPr="00667581" w:rsidR="00206FE9" w:rsidTr="00BF5739" w14:paraId="33C095A2" w14:textId="77777777">
        <w:trPr>
          <w:trHeight w:val="225"/>
        </w:trPr>
        <w:tc>
          <w:tcPr>
            <w:tcW w:w="4617" w:type="pct"/>
            <w:gridSpan w:val="5"/>
            <w:shd w:val="clear" w:color="auto" w:fill="auto"/>
          </w:tcPr>
          <w:p w:rsidRPr="00667581" w:rsidR="00206FE9" w:rsidP="00206FE9" w:rsidRDefault="00206FE9"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206FE9" w:rsidP="00206FE9" w:rsidRDefault="00206FE9" w14:paraId="0C73062D" w14:textId="678F5AB6">
            <w:pPr>
              <w:pStyle w:val="Default"/>
              <w:jc w:val="center"/>
              <w:rPr>
                <w:color w:val="auto"/>
                <w:lang w:val="en-GB" w:eastAsia="ro-RO"/>
              </w:rPr>
            </w:pPr>
            <w:r w:rsidRPr="0011179E">
              <w:rPr>
                <w:lang w:val="ro-RO"/>
              </w:rPr>
              <w:t>6</w:t>
            </w:r>
          </w:p>
        </w:tc>
      </w:tr>
      <w:tr w:rsidRPr="00667581" w:rsidR="00667581" w:rsidTr="00BF5739"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206FE9" w:rsidTr="00BF5739" w14:paraId="6828B0BE" w14:textId="77777777">
        <w:trPr>
          <w:trHeight w:val="225"/>
        </w:trPr>
        <w:tc>
          <w:tcPr>
            <w:tcW w:w="1591" w:type="pct"/>
            <w:shd w:val="clear" w:color="auto" w:fill="auto"/>
          </w:tcPr>
          <w:p w:rsidRPr="00667581" w:rsidR="00206FE9" w:rsidP="00206FE9" w:rsidRDefault="00206FE9"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206FE9" w:rsidP="00206FE9" w:rsidRDefault="00206FE9" w14:paraId="686E9DD4" w14:textId="4FF83A96">
            <w:pPr>
              <w:pStyle w:val="Default"/>
              <w:jc w:val="right"/>
              <w:rPr>
                <w:color w:val="auto"/>
                <w:lang w:val="en-GB" w:eastAsia="ro-RO"/>
              </w:rPr>
            </w:pPr>
            <w:r w:rsidRPr="0011179E">
              <w:rPr>
                <w:lang w:val="ro-RO"/>
              </w:rPr>
              <w:t>47</w:t>
            </w:r>
          </w:p>
        </w:tc>
        <w:tc>
          <w:tcPr>
            <w:tcW w:w="3003" w:type="pct"/>
            <w:gridSpan w:val="4"/>
            <w:shd w:val="clear" w:color="auto" w:fill="auto"/>
          </w:tcPr>
          <w:p w:rsidRPr="00667581" w:rsidR="00206FE9" w:rsidP="00206FE9" w:rsidRDefault="00206FE9" w14:paraId="76A9B8EF" w14:textId="77777777">
            <w:pPr>
              <w:spacing w:after="0" w:line="240" w:lineRule="auto"/>
              <w:rPr>
                <w:rFonts w:ascii="Times New Roman" w:hAnsi="Times New Roman"/>
                <w:sz w:val="20"/>
                <w:szCs w:val="20"/>
                <w:lang w:val="en-GB" w:eastAsia="ro-RO"/>
              </w:rPr>
            </w:pPr>
          </w:p>
        </w:tc>
      </w:tr>
      <w:tr w:rsidRPr="00667581" w:rsidR="00206FE9" w:rsidTr="00BF5739" w14:paraId="033D2592" w14:textId="77777777">
        <w:trPr>
          <w:trHeight w:val="220"/>
        </w:trPr>
        <w:tc>
          <w:tcPr>
            <w:tcW w:w="1591" w:type="pct"/>
            <w:shd w:val="clear" w:color="auto" w:fill="auto"/>
          </w:tcPr>
          <w:p w:rsidRPr="00667581" w:rsidR="00206FE9" w:rsidP="00206FE9" w:rsidRDefault="00206FE9"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206FE9" w:rsidP="00206FE9" w:rsidRDefault="00206FE9" w14:paraId="401EC8DA" w14:textId="00EC7446">
            <w:pPr>
              <w:pStyle w:val="Default"/>
              <w:jc w:val="right"/>
              <w:rPr>
                <w:color w:val="auto"/>
                <w:lang w:val="en-GB" w:eastAsia="ro-RO"/>
              </w:rPr>
            </w:pPr>
            <w:r w:rsidRPr="0011179E">
              <w:rPr>
                <w:lang w:val="ro-RO"/>
              </w:rPr>
              <w:t>75</w:t>
            </w:r>
          </w:p>
        </w:tc>
        <w:tc>
          <w:tcPr>
            <w:tcW w:w="3003" w:type="pct"/>
            <w:gridSpan w:val="4"/>
            <w:shd w:val="clear" w:color="auto" w:fill="auto"/>
          </w:tcPr>
          <w:p w:rsidRPr="00667581" w:rsidR="00206FE9" w:rsidP="00206FE9" w:rsidRDefault="00206FE9" w14:paraId="780C198D" w14:textId="77777777">
            <w:pPr>
              <w:spacing w:after="0" w:line="240" w:lineRule="auto"/>
              <w:rPr>
                <w:rFonts w:ascii="Times New Roman" w:hAnsi="Times New Roman"/>
                <w:sz w:val="20"/>
                <w:szCs w:val="20"/>
                <w:lang w:val="en-GB" w:eastAsia="ro-RO"/>
              </w:rPr>
            </w:pPr>
          </w:p>
        </w:tc>
      </w:tr>
      <w:tr w:rsidRPr="00667581" w:rsidR="00206FE9" w:rsidTr="00BF5739" w14:paraId="5901675D" w14:textId="77777777">
        <w:trPr>
          <w:trHeight w:val="220"/>
        </w:trPr>
        <w:tc>
          <w:tcPr>
            <w:tcW w:w="1591" w:type="pct"/>
            <w:shd w:val="clear" w:color="auto" w:fill="auto"/>
          </w:tcPr>
          <w:p w:rsidRPr="00667581" w:rsidR="00206FE9" w:rsidP="00206FE9" w:rsidRDefault="00206FE9"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206FE9" w:rsidP="00206FE9" w:rsidRDefault="00206FE9" w14:paraId="62886FCC" w14:textId="0A354480">
            <w:pPr>
              <w:pStyle w:val="Default"/>
              <w:jc w:val="right"/>
              <w:rPr>
                <w:color w:val="auto"/>
                <w:lang w:val="en-GB" w:eastAsia="ro-RO"/>
              </w:rPr>
            </w:pPr>
            <w:r w:rsidRPr="0011179E">
              <w:rPr>
                <w:lang w:val="ro-RO"/>
              </w:rPr>
              <w:t>3</w:t>
            </w:r>
          </w:p>
        </w:tc>
        <w:tc>
          <w:tcPr>
            <w:tcW w:w="3003" w:type="pct"/>
            <w:gridSpan w:val="4"/>
            <w:shd w:val="clear" w:color="auto" w:fill="auto"/>
          </w:tcPr>
          <w:p w:rsidRPr="00667581" w:rsidR="00206FE9" w:rsidP="00206FE9" w:rsidRDefault="00206FE9"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BF5739"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BF5739"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206FE9" w14:paraId="5A551C86" w14:textId="174EB360">
            <w:pPr>
              <w:pStyle w:val="Default"/>
              <w:numPr>
                <w:ilvl w:val="0"/>
                <w:numId w:val="13"/>
              </w:numPr>
              <w:tabs>
                <w:tab w:val="clear" w:pos="0"/>
                <w:tab w:val="num" w:pos="347"/>
              </w:tabs>
              <w:ind w:left="347" w:hanging="347"/>
              <w:rPr>
                <w:color w:val="auto"/>
                <w:lang w:val="en-GB" w:eastAsia="ro-RO"/>
              </w:rPr>
            </w:pPr>
            <w:r>
              <w:rPr>
                <w:color w:val="auto"/>
                <w:lang w:val="en-GB" w:eastAsia="ro-RO"/>
              </w:rPr>
              <w:t>Course room/educational platform, audio system, VP, printed and electronic resources</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BF5739"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36B89F2" w:rsidR="00667581">
        <w:rPr>
          <w:rFonts w:ascii="Times New Roman" w:hAnsi="Times New Roman"/>
          <w:color w:val="auto"/>
          <w:sz w:val="20"/>
          <w:szCs w:val="20"/>
          <w:lang w:val="en-GB"/>
        </w:rPr>
        <w:t>7. Cou</w:t>
      </w:r>
      <w:r w:rsidRPr="036B89F2" w:rsidR="00621A11">
        <w:rPr>
          <w:rFonts w:ascii="Times New Roman" w:hAnsi="Times New Roman"/>
          <w:color w:val="auto"/>
          <w:sz w:val="20"/>
          <w:szCs w:val="20"/>
          <w:lang w:val="en-GB"/>
        </w:rPr>
        <w:t>r</w:t>
      </w:r>
      <w:r w:rsidRPr="036B89F2" w:rsidR="00667581">
        <w:rPr>
          <w:rFonts w:ascii="Times New Roman" w:hAnsi="Times New Roman"/>
          <w:color w:val="auto"/>
          <w:sz w:val="20"/>
          <w:szCs w:val="20"/>
          <w:lang w:val="en-GB"/>
        </w:rPr>
        <w:t xml:space="preserve">se </w:t>
      </w:r>
      <w:r w:rsidRPr="036B89F2" w:rsidR="00692AC1">
        <w:rPr>
          <w:rFonts w:ascii="Times New Roman" w:hAnsi="Times New Roman"/>
          <w:color w:val="auto"/>
          <w:sz w:val="20"/>
          <w:szCs w:val="20"/>
          <w:lang w:val="en-GB"/>
        </w:rPr>
        <w:t>objectives</w:t>
      </w:r>
      <w:r w:rsidRPr="036B89F2" w:rsidR="00667581">
        <w:rPr>
          <w:rFonts w:ascii="Times New Roman" w:hAnsi="Times New Roman"/>
          <w:color w:val="auto"/>
          <w:sz w:val="20"/>
          <w:szCs w:val="20"/>
          <w:lang w:val="en-GB"/>
        </w:rPr>
        <w:t xml:space="preserve"> (</w:t>
      </w:r>
      <w:r w:rsidRPr="036B89F2" w:rsidR="0070653E">
        <w:rPr>
          <w:rFonts w:ascii="Times New Roman" w:hAnsi="Times New Roman"/>
          <w:color w:val="auto"/>
          <w:sz w:val="20"/>
          <w:szCs w:val="20"/>
          <w:lang w:val="en-GB"/>
        </w:rPr>
        <w:t>derived</w:t>
      </w:r>
      <w:r w:rsidRPr="036B89F2" w:rsidR="00667581">
        <w:rPr>
          <w:rFonts w:ascii="Times New Roman" w:hAnsi="Times New Roman"/>
          <w:color w:val="auto"/>
          <w:sz w:val="20"/>
          <w:szCs w:val="20"/>
          <w:lang w:val="en-GB"/>
        </w:rPr>
        <w:t xml:space="preserve"> from the specific competences</w:t>
      </w:r>
      <w:r w:rsidRPr="036B89F2" w:rsidR="0070653E">
        <w:rPr>
          <w:rFonts w:ascii="Times New Roman" w:hAnsi="Times New Roman"/>
          <w:color w:val="auto"/>
          <w:sz w:val="20"/>
          <w:szCs w:val="20"/>
          <w:lang w:val="en-GB"/>
        </w:rPr>
        <w:t xml:space="preserve"> </w:t>
      </w:r>
      <w:r w:rsidRPr="036B89F2" w:rsidR="0070653E">
        <w:rPr>
          <w:rFonts w:ascii="Times New Roman" w:hAnsi="Times New Roman"/>
          <w:color w:val="auto"/>
          <w:sz w:val="20"/>
          <w:szCs w:val="20"/>
          <w:lang w:val="en-GB"/>
        </w:rPr>
        <w:t>acquired</w:t>
      </w:r>
      <w:r w:rsidRPr="036B89F2"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BF5739"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326F0266">
            <w:pPr>
              <w:pStyle w:val="Default"/>
              <w:numPr>
                <w:ilvl w:val="0"/>
                <w:numId w:val="12"/>
              </w:numPr>
              <w:rPr>
                <w:color w:val="auto"/>
                <w:lang w:val="en-GB" w:eastAsia="ro-RO"/>
              </w:rPr>
            </w:pPr>
            <w:r>
              <w:rPr>
                <w:color w:val="auto"/>
                <w:lang w:val="en-GB" w:eastAsia="ro-RO"/>
              </w:rPr>
              <w:t>The students will be able to use the</w:t>
            </w:r>
            <w:r w:rsidR="009B43B4">
              <w:rPr>
                <w:color w:val="auto"/>
                <w:lang w:val="en-GB" w:eastAsia="ro-RO"/>
              </w:rPr>
              <w:t xml:space="preserve"> English</w:t>
            </w:r>
            <w:r>
              <w:rPr>
                <w:color w:val="auto"/>
                <w:lang w:val="en-GB" w:eastAsia="ro-RO"/>
              </w:rPr>
              <w:t xml:space="preserve"> language competently, at a B2 level, in their academic activity and in their future professional activity. </w:t>
            </w:r>
          </w:p>
        </w:tc>
      </w:tr>
      <w:tr w:rsidRPr="00667581" w:rsidR="00667581" w:rsidTr="00BF5739"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69CC8969">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Pr="009B43B4" w:rsidR="009B43B4">
              <w:rPr>
                <w:rFonts w:ascii="Times New Roman" w:hAnsi="Times New Roman"/>
                <w:sz w:val="20"/>
                <w:szCs w:val="20"/>
                <w:lang w:eastAsia="ro-RO"/>
              </w:rPr>
              <w:t>English</w:t>
            </w:r>
            <w:r w:rsidRPr="009B43B4">
              <w:rPr>
                <w:rFonts w:ascii="Times New Roman" w:hAnsi="Times New Roman"/>
                <w:i/>
                <w:iCs/>
                <w:sz w:val="20"/>
                <w:szCs w:val="20"/>
                <w:lang w:eastAsia="ro-RO"/>
              </w:rPr>
              <w:t>,</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15B8B7A">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9B43B4" w:rsidR="009B43B4">
              <w:rPr>
                <w:rFonts w:ascii="Times New Roman" w:hAnsi="Times New Roman"/>
                <w:sz w:val="20"/>
                <w:szCs w:val="20"/>
                <w:lang w:eastAsia="ro-RO"/>
              </w:rPr>
              <w:t xml:space="preserve">English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00C60BDD" w14:paraId="41DBC290" w14:textId="4D23BCBA">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3. Transferring learning concepts/principles/methods in written text reception and in production, </w:t>
            </w:r>
            <w:r w:rsidRPr="009B43B4" w:rsidR="009619DD">
              <w:rPr>
                <w:rFonts w:ascii="Times New Roman" w:hAnsi="Times New Roman"/>
                <w:sz w:val="20"/>
                <w:szCs w:val="20"/>
                <w:lang w:eastAsia="ro-RO"/>
              </w:rPr>
              <w:t>focusing on</w:t>
            </w:r>
            <w:r w:rsidRPr="009B43B4">
              <w:rPr>
                <w:rFonts w:ascii="Times New Roman" w:hAnsi="Times New Roman"/>
                <w:sz w:val="20"/>
                <w:szCs w:val="20"/>
                <w:lang w:eastAsia="ro-RO"/>
              </w:rPr>
              <w:t xml:space="preserve"> the stages of the writing process, organizing and developing ideas, text structure and the oral and written communication strategies </w:t>
            </w:r>
            <w:r w:rsidRPr="009B43B4" w:rsidR="009619DD">
              <w:rPr>
                <w:rFonts w:ascii="Times New Roman" w:hAnsi="Times New Roman"/>
                <w:sz w:val="20"/>
                <w:szCs w:val="20"/>
                <w:lang w:eastAsia="ro-RO"/>
              </w:rPr>
              <w:t xml:space="preserve">specific to </w:t>
            </w:r>
            <w:r w:rsidRPr="009B43B4" w:rsidR="009B43B4">
              <w:rPr>
                <w:rFonts w:ascii="Times New Roman" w:hAnsi="Times New Roman"/>
                <w:sz w:val="20"/>
                <w:szCs w:val="20"/>
                <w:lang w:eastAsia="ro-RO"/>
              </w:rPr>
              <w:t xml:space="preserve">English </w:t>
            </w:r>
            <w:r w:rsidRPr="009B43B4" w:rsidR="009619DD">
              <w:rPr>
                <w:rFonts w:ascii="Times New Roman" w:hAnsi="Times New Roman"/>
                <w:sz w:val="20"/>
                <w:szCs w:val="20"/>
                <w:lang w:eastAsia="ro-RO"/>
              </w:rPr>
              <w:t>specialized for the scientific discourse.</w:t>
            </w:r>
          </w:p>
          <w:p w:rsidRPr="009B43B4" w:rsidR="009619DD" w:rsidP="009619DD" w:rsidRDefault="009619DD" w14:paraId="25975AA8" w14:textId="3C3B132D">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 xml:space="preserve">the academic/professional community in order to assess the quality of academic productions both oral and written in </w:t>
            </w:r>
            <w:r w:rsidRPr="009B43B4" w:rsidR="009B43B4">
              <w:rPr>
                <w:rFonts w:ascii="Times New Roman" w:hAnsi="Times New Roman"/>
                <w:sz w:val="20"/>
                <w:szCs w:val="20"/>
                <w:lang w:eastAsia="ro-RO"/>
              </w:rPr>
              <w:t>English</w:t>
            </w:r>
          </w:p>
          <w:p w:rsidRPr="009B43B4"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9E2337" w:rsidP="009E2337" w:rsidRDefault="00667581" w14:paraId="598CE1AC" w14:textId="66081A66">
      <w:pPr>
        <w:pStyle w:val="Heading1"/>
        <w:spacing w:before="0" w:line="240" w:lineRule="auto"/>
        <w:rPr>
          <w:rFonts w:ascii="Times New Roman" w:hAnsi="Times New Roman" w:eastAsia="Lucida Sans Unicode"/>
          <w:color w:val="auto"/>
          <w:sz w:val="20"/>
          <w:szCs w:val="20"/>
          <w:lang w:val="en-GB"/>
        </w:rPr>
      </w:pPr>
      <w:r w:rsidRPr="036B89F2" w:rsidR="00667581">
        <w:rPr>
          <w:rFonts w:ascii="Times New Roman" w:hAnsi="Times New Roman" w:eastAsia="Lucida Sans Unicode"/>
          <w:color w:val="auto"/>
          <w:sz w:val="20"/>
          <w:szCs w:val="20"/>
          <w:lang w:val="en-GB"/>
        </w:rPr>
        <w:t>8. Contents</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206FE9" w:rsidTr="00BF5739" w14:paraId="500D2693" w14:textId="77777777">
        <w:tc>
          <w:tcPr>
            <w:tcW w:w="4786" w:type="dxa"/>
          </w:tcPr>
          <w:p w:rsidRPr="00206FE9" w:rsidR="00206FE9" w:rsidP="00206FE9" w:rsidRDefault="00206FE9" w14:paraId="0846C56B" w14:textId="6C9F7326">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206FE9" w:rsidR="00206FE9" w:rsidP="00206FE9" w:rsidRDefault="00206FE9" w14:paraId="1E106208" w14:textId="052575DC">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758D7D4F" w14:textId="3F0A34C9">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206FE9" w:rsidTr="00BF5739" w14:paraId="0FCD5513" w14:textId="77777777">
        <w:tc>
          <w:tcPr>
            <w:tcW w:w="10173" w:type="dxa"/>
            <w:gridSpan w:val="3"/>
          </w:tcPr>
          <w:p w:rsidRPr="0011179E" w:rsidR="00206FE9" w:rsidP="00BF5739" w:rsidRDefault="00206FE9" w14:paraId="238DBE61" w14:textId="77777777">
            <w:pPr>
              <w:spacing w:after="0" w:line="240" w:lineRule="auto"/>
              <w:rPr>
                <w:rFonts w:ascii="Times New Roman" w:hAnsi="Times New Roman" w:eastAsia="Times New Roman"/>
                <w:sz w:val="20"/>
                <w:szCs w:val="20"/>
                <w:lang w:val="ro-RO" w:eastAsia="zh-CN"/>
              </w:rPr>
            </w:pPr>
          </w:p>
        </w:tc>
      </w:tr>
      <w:tr w:rsidRPr="0011179E" w:rsidR="00206FE9" w:rsidTr="00BF5739" w14:paraId="4F0D8481" w14:textId="77777777">
        <w:tc>
          <w:tcPr>
            <w:tcW w:w="4786" w:type="dxa"/>
          </w:tcPr>
          <w:p w:rsidRPr="00206FE9" w:rsidR="00206FE9" w:rsidP="00206FE9" w:rsidRDefault="00206FE9" w14:paraId="53457877" w14:textId="26185A47">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206FE9" w:rsidR="00206FE9" w:rsidP="00206FE9" w:rsidRDefault="00206FE9" w14:paraId="2B2B60C6" w14:textId="78A3ED55">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3A2C42DA" w14:textId="543A5700">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9E2337" w:rsidTr="00BF5739" w14:paraId="39F30DFC" w14:textId="77777777">
        <w:tc>
          <w:tcPr>
            <w:tcW w:w="4786" w:type="dxa"/>
          </w:tcPr>
          <w:p w:rsidRPr="0011179E" w:rsidR="009E2337" w:rsidP="009E2337" w:rsidRDefault="009E2337" w14:paraId="54A12480" w14:textId="0BC0A4FD">
            <w:pPr>
              <w:spacing w:after="0" w:line="240" w:lineRule="auto"/>
              <w:rPr>
                <w:rFonts w:ascii="Times New Roman" w:hAnsi="Times New Roman" w:eastAsia="Times New Roman"/>
                <w:sz w:val="20"/>
                <w:szCs w:val="20"/>
                <w:lang w:val="ro-RO" w:eastAsia="zh-CN"/>
              </w:rPr>
            </w:pPr>
          </w:p>
        </w:tc>
        <w:tc>
          <w:tcPr>
            <w:tcW w:w="2552" w:type="dxa"/>
          </w:tcPr>
          <w:p w:rsidR="009E2337" w:rsidP="009E2337" w:rsidRDefault="009E2337" w14:paraId="74A9C72E" w14:textId="7AB073A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Interactive </w:t>
            </w:r>
            <w:proofErr w:type="spellStart"/>
            <w:r>
              <w:rPr>
                <w:rFonts w:ascii="Times New Roman" w:hAnsi="Times New Roman" w:eastAsia="Times New Roman"/>
                <w:sz w:val="20"/>
                <w:szCs w:val="20"/>
                <w:lang w:val="ro-RO" w:eastAsia="zh-CN"/>
              </w:rPr>
              <w:t>practical</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course</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peer</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and</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group</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work</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collaborative</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learning</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debate</w:t>
            </w:r>
            <w:proofErr w:type="spellEnd"/>
            <w:r>
              <w:rPr>
                <w:rFonts w:ascii="Times New Roman" w:hAnsi="Times New Roman" w:eastAsia="Times New Roman"/>
                <w:sz w:val="20"/>
                <w:szCs w:val="20"/>
                <w:lang w:val="ro-RO" w:eastAsia="zh-CN"/>
              </w:rPr>
              <w:t xml:space="preserve">, role play, </w:t>
            </w:r>
            <w:proofErr w:type="spellStart"/>
            <w:r>
              <w:rPr>
                <w:rFonts w:ascii="Times New Roman" w:hAnsi="Times New Roman" w:eastAsia="Times New Roman"/>
                <w:sz w:val="20"/>
                <w:szCs w:val="20"/>
                <w:lang w:val="ro-RO" w:eastAsia="zh-CN"/>
              </w:rPr>
              <w:t>research</w:t>
            </w:r>
            <w:proofErr w:type="spellEnd"/>
            <w:r>
              <w:rPr>
                <w:rFonts w:ascii="Times New Roman" w:hAnsi="Times New Roman" w:eastAsia="Times New Roman"/>
                <w:sz w:val="20"/>
                <w:szCs w:val="20"/>
                <w:lang w:val="ro-RO" w:eastAsia="zh-CN"/>
              </w:rPr>
              <w:t xml:space="preserve">-led </w:t>
            </w:r>
            <w:proofErr w:type="spellStart"/>
            <w:r>
              <w:rPr>
                <w:rFonts w:ascii="Times New Roman" w:hAnsi="Times New Roman" w:eastAsia="Times New Roman"/>
                <w:sz w:val="20"/>
                <w:szCs w:val="20"/>
                <w:lang w:val="ro-RO" w:eastAsia="zh-CN"/>
              </w:rPr>
              <w:t>and</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discovery-based</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learning</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blended</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learning</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synchronous</w:t>
            </w:r>
            <w:proofErr w:type="spellEnd"/>
            <w:r>
              <w:rPr>
                <w:rFonts w:ascii="Times New Roman" w:hAnsi="Times New Roman" w:eastAsia="Times New Roman"/>
                <w:sz w:val="20"/>
                <w:szCs w:val="20"/>
                <w:lang w:val="ro-RO" w:eastAsia="zh-CN"/>
              </w:rPr>
              <w:t>/</w:t>
            </w:r>
            <w:proofErr w:type="spellStart"/>
            <w:r>
              <w:rPr>
                <w:rFonts w:ascii="Times New Roman" w:hAnsi="Times New Roman" w:eastAsia="Times New Roman"/>
                <w:sz w:val="20"/>
                <w:szCs w:val="20"/>
                <w:lang w:val="ro-RO" w:eastAsia="zh-CN"/>
              </w:rPr>
              <w:t>asynchronous</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learning</w:t>
            </w:r>
            <w:proofErr w:type="spellEnd"/>
            <w:r>
              <w:rPr>
                <w:rFonts w:ascii="Times New Roman" w:hAnsi="Times New Roman" w:eastAsia="Times New Roman"/>
                <w:sz w:val="20"/>
                <w:szCs w:val="20"/>
                <w:lang w:val="ro-RO" w:eastAsia="zh-CN"/>
              </w:rPr>
              <w:t xml:space="preserve"> etc. </w:t>
            </w:r>
          </w:p>
          <w:p w:rsidRPr="0011179E" w:rsidR="009E2337" w:rsidP="009E2337" w:rsidRDefault="009E2337" w14:paraId="450221F5" w14:textId="36CB2FBA">
            <w:pPr>
              <w:spacing w:after="0" w:line="240" w:lineRule="auto"/>
              <w:rPr>
                <w:rFonts w:ascii="Times New Roman" w:hAnsi="Times New Roman" w:eastAsia="Times New Roman"/>
                <w:sz w:val="20"/>
                <w:szCs w:val="20"/>
                <w:lang w:val="ro-RO" w:eastAsia="zh-CN"/>
              </w:rPr>
            </w:pPr>
          </w:p>
        </w:tc>
        <w:tc>
          <w:tcPr>
            <w:tcW w:w="2835" w:type="dxa"/>
          </w:tcPr>
          <w:p w:rsidRPr="0011179E" w:rsidR="009E2337" w:rsidP="009E2337" w:rsidRDefault="009E2337" w14:paraId="7DDD9D9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C55C854" w14:textId="77777777">
        <w:tc>
          <w:tcPr>
            <w:tcW w:w="4786" w:type="dxa"/>
          </w:tcPr>
          <w:p w:rsidR="009E2337" w:rsidP="009E2337" w:rsidRDefault="009E2337" w14:paraId="5046A772" w14:textId="77777777">
            <w:pPr>
              <w:spacing w:after="0" w:line="240" w:lineRule="auto"/>
              <w:jc w:val="both"/>
              <w:rPr>
                <w:rFonts w:ascii="Times New Roman" w:hAnsi="Times New Roman" w:eastAsia="Times New Roman"/>
                <w:sz w:val="20"/>
                <w:szCs w:val="20"/>
                <w:lang w:val="ro-RO" w:eastAsia="zh-CN"/>
              </w:rPr>
            </w:pPr>
            <w:proofErr w:type="spellStart"/>
            <w:r w:rsidRPr="0011179E">
              <w:rPr>
                <w:rFonts w:ascii="Times New Roman" w:hAnsi="Times New Roman" w:eastAsia="Times New Roman"/>
                <w:sz w:val="20"/>
                <w:szCs w:val="20"/>
                <w:lang w:val="ro-RO" w:eastAsia="zh-CN"/>
              </w:rPr>
              <w:t>Initial</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course</w:t>
            </w:r>
            <w:proofErr w:type="spellEnd"/>
            <w:r w:rsidRPr="0011179E">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information</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about</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the</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language</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proficiency</w:t>
            </w:r>
            <w:proofErr w:type="spellEnd"/>
            <w:r>
              <w:rPr>
                <w:rFonts w:ascii="Times New Roman" w:hAnsi="Times New Roman" w:eastAsia="Times New Roman"/>
                <w:sz w:val="20"/>
                <w:szCs w:val="20"/>
                <w:lang w:val="ro-RO" w:eastAsia="zh-CN"/>
              </w:rPr>
              <w:t xml:space="preserve"> test</w:t>
            </w:r>
          </w:p>
          <w:p w:rsidRPr="0011179E" w:rsidR="009E2337" w:rsidP="009E2337" w:rsidRDefault="009E2337" w14:paraId="3C6C4082" w14:textId="41929B74">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Self-</w:t>
            </w:r>
            <w:proofErr w:type="spellStart"/>
            <w:r>
              <w:rPr>
                <w:rFonts w:ascii="Times New Roman" w:hAnsi="Times New Roman" w:eastAsia="Times New Roman"/>
                <w:sz w:val="20"/>
                <w:szCs w:val="20"/>
                <w:lang w:val="ro-RO" w:eastAsia="zh-CN"/>
              </w:rPr>
              <w:t>assessment</w:t>
            </w:r>
            <w:proofErr w:type="spellEnd"/>
          </w:p>
        </w:tc>
        <w:tc>
          <w:tcPr>
            <w:tcW w:w="2552" w:type="dxa"/>
          </w:tcPr>
          <w:p w:rsidRPr="0011179E" w:rsidR="009E2337" w:rsidP="009E2337" w:rsidRDefault="009E2337" w14:paraId="1FF38B67" w14:textId="6931338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5D37AF87"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2C1A92FB" w14:textId="77777777">
        <w:tc>
          <w:tcPr>
            <w:tcW w:w="4786" w:type="dxa"/>
          </w:tcPr>
          <w:p w:rsidRPr="0011179E" w:rsidR="009E2337" w:rsidP="009E2337" w:rsidRDefault="009E2337" w14:paraId="41F302C7" w14:textId="4DB74529">
            <w:pPr>
              <w:spacing w:after="0" w:line="240" w:lineRule="auto"/>
              <w:rPr>
                <w:rFonts w:ascii="Times New Roman" w:hAnsi="Times New Roman" w:eastAsia="Times New Roman"/>
                <w:sz w:val="20"/>
                <w:szCs w:val="20"/>
                <w:lang w:val="ro-RO" w:eastAsia="zh-CN"/>
              </w:rPr>
            </w:pPr>
            <w:r w:rsidRPr="00D045CC">
              <w:rPr>
                <w:rFonts w:ascii="Times New Roman" w:hAnsi="Times New Roman"/>
                <w:sz w:val="20"/>
                <w:szCs w:val="20"/>
                <w:lang w:val="en-GB"/>
              </w:rPr>
              <w:t xml:space="preserve">Accommodation. Making a reservation, describing types of </w:t>
            </w:r>
            <w:r>
              <w:rPr>
                <w:rFonts w:ascii="Times New Roman" w:hAnsi="Times New Roman"/>
                <w:sz w:val="20"/>
                <w:szCs w:val="20"/>
                <w:lang w:val="en-GB"/>
              </w:rPr>
              <w:t>hotel</w:t>
            </w:r>
            <w:r w:rsidRPr="00D045CC">
              <w:rPr>
                <w:rFonts w:ascii="Times New Roman" w:hAnsi="Times New Roman"/>
                <w:sz w:val="20"/>
                <w:szCs w:val="20"/>
                <w:lang w:val="en-GB"/>
              </w:rPr>
              <w:t xml:space="preserve"> </w:t>
            </w:r>
            <w:r>
              <w:rPr>
                <w:rFonts w:ascii="Times New Roman" w:hAnsi="Times New Roman"/>
                <w:sz w:val="20"/>
                <w:szCs w:val="20"/>
                <w:lang w:val="en-GB"/>
              </w:rPr>
              <w:t xml:space="preserve">services </w:t>
            </w:r>
            <w:r w:rsidRPr="00D045CC">
              <w:rPr>
                <w:rFonts w:ascii="Times New Roman" w:hAnsi="Times New Roman"/>
                <w:sz w:val="20"/>
                <w:szCs w:val="20"/>
                <w:lang w:val="en-GB"/>
              </w:rPr>
              <w:t>and facilities.</w:t>
            </w:r>
          </w:p>
        </w:tc>
        <w:tc>
          <w:tcPr>
            <w:tcW w:w="2552" w:type="dxa"/>
          </w:tcPr>
          <w:p w:rsidRPr="0011179E" w:rsidR="009E2337" w:rsidP="009E2337" w:rsidRDefault="009E2337" w14:paraId="22BE51FA" w14:textId="5C2FDCB0">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7A5BBAC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89A57E2" w14:textId="77777777">
        <w:tc>
          <w:tcPr>
            <w:tcW w:w="4786" w:type="dxa"/>
          </w:tcPr>
          <w:p w:rsidRPr="0011179E" w:rsidR="009E2337" w:rsidP="009E2337" w:rsidRDefault="009E2337" w14:paraId="271B1033" w14:textId="0AE50A1E">
            <w:pPr>
              <w:spacing w:after="0" w:line="240" w:lineRule="auto"/>
              <w:rPr>
                <w:rFonts w:ascii="Times New Roman" w:hAnsi="Times New Roman" w:eastAsia="Times New Roman"/>
                <w:sz w:val="20"/>
                <w:szCs w:val="20"/>
                <w:lang w:val="ro-RO" w:eastAsia="zh-CN"/>
              </w:rPr>
            </w:pPr>
            <w:proofErr w:type="spellStart"/>
            <w:r w:rsidRPr="00D045CC">
              <w:rPr>
                <w:rFonts w:ascii="Times New Roman" w:hAnsi="Times New Roman"/>
                <w:sz w:val="20"/>
                <w:szCs w:val="20"/>
                <w:lang w:val="ro-RO"/>
              </w:rPr>
              <w:t>Accommodation</w:t>
            </w:r>
            <w:proofErr w:type="spellEnd"/>
            <w:r w:rsidRPr="00D045CC">
              <w:rPr>
                <w:rFonts w:ascii="Times New Roman" w:hAnsi="Times New Roman"/>
                <w:sz w:val="20"/>
                <w:szCs w:val="20"/>
                <w:lang w:val="ro-RO"/>
              </w:rPr>
              <w:t xml:space="preserve">. </w:t>
            </w:r>
            <w:proofErr w:type="spellStart"/>
            <w:r>
              <w:rPr>
                <w:rFonts w:ascii="Times New Roman" w:hAnsi="Times New Roman"/>
                <w:sz w:val="20"/>
                <w:szCs w:val="20"/>
                <w:lang w:val="ro-RO"/>
              </w:rPr>
              <w:t>Grammar</w:t>
            </w:r>
            <w:proofErr w:type="spellEnd"/>
            <w:r>
              <w:rPr>
                <w:rFonts w:ascii="Times New Roman" w:hAnsi="Times New Roman"/>
                <w:sz w:val="20"/>
                <w:szCs w:val="20"/>
                <w:lang w:val="ro-RO"/>
              </w:rPr>
              <w:t xml:space="preserve"> - </w:t>
            </w:r>
            <w:proofErr w:type="spellStart"/>
            <w:r>
              <w:rPr>
                <w:rFonts w:ascii="Times New Roman" w:hAnsi="Times New Roman"/>
                <w:sz w:val="20"/>
                <w:szCs w:val="20"/>
                <w:lang w:val="ro-RO"/>
              </w:rPr>
              <w:t>p</w:t>
            </w:r>
            <w:r w:rsidRPr="00D045CC">
              <w:rPr>
                <w:rFonts w:ascii="Times New Roman" w:hAnsi="Times New Roman"/>
                <w:sz w:val="20"/>
                <w:szCs w:val="20"/>
                <w:lang w:val="ro-RO"/>
              </w:rPr>
              <w:t>repositions</w:t>
            </w:r>
            <w:proofErr w:type="spellEnd"/>
            <w:r w:rsidRPr="00D045CC">
              <w:rPr>
                <w:rFonts w:ascii="Times New Roman" w:hAnsi="Times New Roman"/>
                <w:sz w:val="20"/>
                <w:szCs w:val="20"/>
                <w:lang w:val="ro-RO"/>
              </w:rPr>
              <w:t xml:space="preserve"> of place</w:t>
            </w:r>
            <w:r>
              <w:rPr>
                <w:rFonts w:ascii="Times New Roman" w:hAnsi="Times New Roman"/>
                <w:sz w:val="20"/>
                <w:szCs w:val="20"/>
                <w:lang w:val="ro-RO"/>
              </w:rPr>
              <w:t xml:space="preserve">, </w:t>
            </w:r>
            <w:proofErr w:type="spellStart"/>
            <w:r w:rsidRPr="00D045CC">
              <w:rPr>
                <w:rFonts w:ascii="Times New Roman" w:hAnsi="Times New Roman"/>
                <w:sz w:val="20"/>
                <w:szCs w:val="20"/>
                <w:lang w:val="ro-RO"/>
              </w:rPr>
              <w:t>location</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movement</w:t>
            </w:r>
            <w:proofErr w:type="spellEnd"/>
          </w:p>
        </w:tc>
        <w:tc>
          <w:tcPr>
            <w:tcW w:w="2552" w:type="dxa"/>
          </w:tcPr>
          <w:p w:rsidRPr="0011179E" w:rsidR="009E2337" w:rsidP="009E2337" w:rsidRDefault="009E2337" w14:paraId="54492CA6" w14:textId="266CEEA1">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1642B80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B0729CA" w14:textId="77777777">
        <w:tc>
          <w:tcPr>
            <w:tcW w:w="4786" w:type="dxa"/>
          </w:tcPr>
          <w:p w:rsidRPr="0011179E" w:rsidR="009E2337" w:rsidP="009E2337" w:rsidRDefault="009E2337" w14:paraId="742A3830" w14:textId="1AEEADB0">
            <w:pPr>
              <w:spacing w:after="0" w:line="240" w:lineRule="auto"/>
              <w:rPr>
                <w:rFonts w:ascii="Times New Roman" w:hAnsi="Times New Roman" w:eastAsia="Times New Roman"/>
                <w:sz w:val="20"/>
                <w:szCs w:val="20"/>
                <w:lang w:val="ro-RO" w:eastAsia="zh-CN"/>
              </w:rPr>
            </w:pPr>
            <w:r w:rsidRPr="00D045CC">
              <w:rPr>
                <w:rFonts w:ascii="Times New Roman" w:hAnsi="Times New Roman"/>
                <w:sz w:val="20"/>
                <w:szCs w:val="20"/>
                <w:lang w:val="en-GB"/>
              </w:rPr>
              <w:t>Marketing and promotion. Designing a SWOT analysis.</w:t>
            </w:r>
          </w:p>
        </w:tc>
        <w:tc>
          <w:tcPr>
            <w:tcW w:w="2552" w:type="dxa"/>
          </w:tcPr>
          <w:p w:rsidRPr="0011179E" w:rsidR="009E2337" w:rsidP="009E2337" w:rsidRDefault="009E2337" w14:paraId="12BA8765" w14:textId="1C4BCA6D">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18E8EE3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E0B7789" w14:textId="77777777">
        <w:tc>
          <w:tcPr>
            <w:tcW w:w="4786" w:type="dxa"/>
          </w:tcPr>
          <w:p w:rsidRPr="0011179E" w:rsidR="009E2337" w:rsidP="009E2337" w:rsidRDefault="009E2337" w14:paraId="1CDB0F9D" w14:textId="330BB282">
            <w:pPr>
              <w:spacing w:after="0" w:line="240" w:lineRule="auto"/>
              <w:rPr>
                <w:rFonts w:ascii="Times New Roman" w:hAnsi="Times New Roman" w:eastAsia="Times New Roman"/>
                <w:sz w:val="20"/>
                <w:szCs w:val="20"/>
                <w:lang w:val="ro-RO" w:eastAsia="zh-CN"/>
              </w:rPr>
            </w:pPr>
            <w:r w:rsidRPr="00D045CC">
              <w:rPr>
                <w:rFonts w:ascii="Times New Roman" w:hAnsi="Times New Roman"/>
                <w:color w:val="000000"/>
                <w:sz w:val="20"/>
                <w:szCs w:val="20"/>
              </w:rPr>
              <w:t xml:space="preserve">Marketing and promotion. </w:t>
            </w:r>
            <w:r>
              <w:rPr>
                <w:rFonts w:ascii="Times New Roman" w:hAnsi="Times New Roman"/>
                <w:color w:val="000000"/>
                <w:sz w:val="20"/>
                <w:szCs w:val="20"/>
              </w:rPr>
              <w:t>Grammar - v</w:t>
            </w:r>
            <w:r w:rsidRPr="00D045CC">
              <w:rPr>
                <w:rFonts w:ascii="Times New Roman" w:hAnsi="Times New Roman"/>
                <w:color w:val="000000"/>
                <w:sz w:val="20"/>
                <w:szCs w:val="20"/>
              </w:rPr>
              <w:t>erb patterns</w:t>
            </w:r>
          </w:p>
        </w:tc>
        <w:tc>
          <w:tcPr>
            <w:tcW w:w="2552" w:type="dxa"/>
          </w:tcPr>
          <w:p w:rsidRPr="0011179E" w:rsidR="009E2337" w:rsidP="009E2337" w:rsidRDefault="009E2337" w14:paraId="1AF2BCB9" w14:textId="265BE0A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6D3ED2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551F58B" w14:textId="77777777">
        <w:tc>
          <w:tcPr>
            <w:tcW w:w="4786" w:type="dxa"/>
          </w:tcPr>
          <w:p w:rsidR="009E2337" w:rsidP="009E2337" w:rsidRDefault="009E2337" w14:paraId="46920605" w14:textId="77777777">
            <w:pPr>
              <w:spacing w:after="0" w:line="240" w:lineRule="auto"/>
              <w:rPr>
                <w:rFonts w:ascii="Times New Roman" w:hAnsi="Times New Roman"/>
                <w:sz w:val="20"/>
                <w:szCs w:val="20"/>
                <w:lang w:val="en-GB"/>
              </w:rPr>
            </w:pPr>
            <w:r w:rsidRPr="00D045CC">
              <w:rPr>
                <w:rFonts w:ascii="Times New Roman" w:hAnsi="Times New Roman"/>
                <w:sz w:val="20"/>
                <w:szCs w:val="20"/>
                <w:lang w:val="en-GB"/>
              </w:rPr>
              <w:t>The airline industry. Low-cost and traditional air transport.</w:t>
            </w:r>
          </w:p>
          <w:p w:rsidRPr="0011179E" w:rsidR="009E2337" w:rsidP="009E2337" w:rsidRDefault="009E2337" w14:paraId="3FAE738E" w14:textId="6AFDD298">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en-GB"/>
              </w:rPr>
              <w:t>Focus on use of English in context</w:t>
            </w:r>
          </w:p>
        </w:tc>
        <w:tc>
          <w:tcPr>
            <w:tcW w:w="2552" w:type="dxa"/>
          </w:tcPr>
          <w:p w:rsidRPr="0011179E" w:rsidR="009E2337" w:rsidP="009E2337" w:rsidRDefault="009E2337" w14:paraId="2293D94B" w14:textId="2735C8F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1D03C96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75EABB1" w14:textId="77777777">
        <w:tc>
          <w:tcPr>
            <w:tcW w:w="4786" w:type="dxa"/>
          </w:tcPr>
          <w:p w:rsidRPr="0011179E" w:rsidR="009E2337" w:rsidP="009E2337" w:rsidRDefault="009E2337" w14:paraId="2445A4C6" w14:textId="55FDBBD1">
            <w:pPr>
              <w:spacing w:after="0" w:line="240" w:lineRule="auto"/>
              <w:rPr>
                <w:rFonts w:ascii="Times New Roman" w:hAnsi="Times New Roman" w:eastAsia="Times New Roman"/>
                <w:sz w:val="20"/>
                <w:szCs w:val="20"/>
                <w:lang w:val="ro-RO" w:eastAsia="zh-CN"/>
              </w:rPr>
            </w:pPr>
            <w:r w:rsidRPr="00D045CC">
              <w:rPr>
                <w:rFonts w:ascii="Times New Roman" w:hAnsi="Times New Roman"/>
                <w:sz w:val="20"/>
                <w:szCs w:val="20"/>
                <w:lang w:val="en-GB"/>
              </w:rPr>
              <w:t>The airline industry. Expressing likes and dislikes</w:t>
            </w:r>
            <w:r>
              <w:rPr>
                <w:rFonts w:ascii="Times New Roman" w:hAnsi="Times New Roman"/>
                <w:sz w:val="20"/>
                <w:szCs w:val="20"/>
                <w:lang w:val="en-GB"/>
              </w:rPr>
              <w:t>, preferences</w:t>
            </w:r>
          </w:p>
        </w:tc>
        <w:tc>
          <w:tcPr>
            <w:tcW w:w="2552" w:type="dxa"/>
          </w:tcPr>
          <w:p w:rsidRPr="0011179E" w:rsidR="009E2337" w:rsidP="009E2337" w:rsidRDefault="009E2337" w14:paraId="1ECEFA27" w14:textId="14E8122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055F62D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6E20DB4D" w14:textId="77777777">
        <w:tc>
          <w:tcPr>
            <w:tcW w:w="4786" w:type="dxa"/>
          </w:tcPr>
          <w:p w:rsidRPr="0011179E" w:rsidR="009E2337" w:rsidP="009E2337" w:rsidRDefault="009E2337" w14:paraId="45ED6EE1" w14:textId="6593BABA">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Holidays with a difference. Cultural differences</w:t>
            </w:r>
            <w:r>
              <w:rPr>
                <w:rFonts w:ascii="Times New Roman" w:hAnsi="Times New Roman"/>
                <w:bCs/>
                <w:color w:val="000000"/>
                <w:sz w:val="20"/>
                <w:szCs w:val="20"/>
              </w:rPr>
              <w:t xml:space="preserve">, </w:t>
            </w:r>
            <w:r w:rsidRPr="00D045CC">
              <w:rPr>
                <w:rFonts w:ascii="Times New Roman" w:hAnsi="Times New Roman"/>
                <w:bCs/>
                <w:color w:val="000000"/>
                <w:sz w:val="20"/>
                <w:szCs w:val="20"/>
              </w:rPr>
              <w:t>cultural awareness</w:t>
            </w:r>
            <w:r>
              <w:rPr>
                <w:rFonts w:ascii="Times New Roman" w:hAnsi="Times New Roman"/>
                <w:bCs/>
                <w:color w:val="000000"/>
                <w:sz w:val="20"/>
                <w:szCs w:val="20"/>
              </w:rPr>
              <w:t>, intercultural communication – a framework</w:t>
            </w:r>
          </w:p>
        </w:tc>
        <w:tc>
          <w:tcPr>
            <w:tcW w:w="2552" w:type="dxa"/>
          </w:tcPr>
          <w:p w:rsidRPr="0011179E" w:rsidR="009E2337" w:rsidP="009E2337" w:rsidRDefault="009E2337" w14:paraId="40C395D0" w14:textId="50F26EA8">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2A5731DE"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2EDD6B2" w14:textId="77777777">
        <w:tc>
          <w:tcPr>
            <w:tcW w:w="4786" w:type="dxa"/>
          </w:tcPr>
          <w:p w:rsidRPr="0011179E" w:rsidR="009E2337" w:rsidP="009E2337" w:rsidRDefault="009E2337" w14:paraId="7D8A0803" w14:textId="1CF1B535">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 xml:space="preserve">Holidays with a difference. </w:t>
            </w:r>
            <w:r>
              <w:rPr>
                <w:rFonts w:ascii="Times New Roman" w:hAnsi="Times New Roman"/>
                <w:bCs/>
                <w:color w:val="000000"/>
                <w:sz w:val="20"/>
                <w:szCs w:val="20"/>
              </w:rPr>
              <w:t xml:space="preserve">Hypothetical constructions and </w:t>
            </w:r>
            <w:r w:rsidRPr="00D045CC">
              <w:rPr>
                <w:rFonts w:ascii="Times New Roman" w:hAnsi="Times New Roman"/>
                <w:bCs/>
                <w:color w:val="000000"/>
                <w:sz w:val="20"/>
                <w:szCs w:val="20"/>
              </w:rPr>
              <w:t>If clauses. (part 1)</w:t>
            </w:r>
          </w:p>
        </w:tc>
        <w:tc>
          <w:tcPr>
            <w:tcW w:w="2552" w:type="dxa"/>
          </w:tcPr>
          <w:p w:rsidRPr="0011179E" w:rsidR="009E2337" w:rsidP="009E2337" w:rsidRDefault="009E2337" w14:paraId="336262C9" w14:textId="3BD201C2">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6074910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7599ED1" w14:textId="77777777">
        <w:tc>
          <w:tcPr>
            <w:tcW w:w="4786" w:type="dxa"/>
          </w:tcPr>
          <w:p w:rsidR="009E2337" w:rsidP="009E2337" w:rsidRDefault="009E2337" w14:paraId="3CF4DFBD" w14:textId="77777777">
            <w:pPr>
              <w:spacing w:after="0" w:line="240" w:lineRule="auto"/>
              <w:rPr>
                <w:rFonts w:ascii="Times New Roman" w:hAnsi="Times New Roman"/>
                <w:bCs/>
                <w:color w:val="000000"/>
                <w:sz w:val="20"/>
                <w:szCs w:val="20"/>
              </w:rPr>
            </w:pPr>
            <w:r w:rsidRPr="00D045CC">
              <w:rPr>
                <w:rFonts w:ascii="Times New Roman" w:hAnsi="Times New Roman"/>
                <w:bCs/>
                <w:color w:val="000000"/>
                <w:sz w:val="20"/>
                <w:szCs w:val="20"/>
              </w:rPr>
              <w:t xml:space="preserve">Reservations and sales. Holiday bookings, </w:t>
            </w:r>
            <w:r>
              <w:rPr>
                <w:rFonts w:ascii="Times New Roman" w:hAnsi="Times New Roman"/>
                <w:bCs/>
                <w:color w:val="000000"/>
                <w:sz w:val="20"/>
                <w:szCs w:val="20"/>
              </w:rPr>
              <w:t xml:space="preserve">processing </w:t>
            </w:r>
            <w:r w:rsidRPr="00D045CC">
              <w:rPr>
                <w:rFonts w:ascii="Times New Roman" w:hAnsi="Times New Roman"/>
                <w:bCs/>
                <w:color w:val="000000"/>
                <w:sz w:val="20"/>
                <w:szCs w:val="20"/>
              </w:rPr>
              <w:t>computer reservation systems.</w:t>
            </w:r>
          </w:p>
          <w:p w:rsidRPr="0011179E" w:rsidR="009E2337" w:rsidP="009E2337" w:rsidRDefault="009E2337" w14:paraId="29525A3C" w14:textId="1938314D">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rPr>
              <w:t>Focus on speaking skills</w:t>
            </w:r>
          </w:p>
        </w:tc>
        <w:tc>
          <w:tcPr>
            <w:tcW w:w="2552" w:type="dxa"/>
          </w:tcPr>
          <w:p w:rsidRPr="0011179E" w:rsidR="009E2337" w:rsidP="009E2337" w:rsidRDefault="009E2337" w14:paraId="575C751B" w14:textId="720190DB">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1105675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0D2A3ED9" w14:textId="77777777">
        <w:tc>
          <w:tcPr>
            <w:tcW w:w="4786" w:type="dxa"/>
          </w:tcPr>
          <w:p w:rsidRPr="0011179E" w:rsidR="009E2337" w:rsidP="009E2337" w:rsidRDefault="009E2337" w14:paraId="642E6C39" w14:textId="651D45BF">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 xml:space="preserve">Reservations and sales. </w:t>
            </w:r>
            <w:r>
              <w:rPr>
                <w:rFonts w:ascii="Times New Roman" w:hAnsi="Times New Roman"/>
                <w:bCs/>
                <w:color w:val="000000"/>
                <w:sz w:val="20"/>
                <w:szCs w:val="20"/>
              </w:rPr>
              <w:t xml:space="preserve">Hypothetical constructions and </w:t>
            </w:r>
            <w:r w:rsidRPr="00D045CC">
              <w:rPr>
                <w:rFonts w:ascii="Times New Roman" w:hAnsi="Times New Roman"/>
                <w:bCs/>
                <w:color w:val="000000"/>
                <w:sz w:val="20"/>
                <w:szCs w:val="20"/>
              </w:rPr>
              <w:t>If clauses (part 2)</w:t>
            </w:r>
          </w:p>
        </w:tc>
        <w:tc>
          <w:tcPr>
            <w:tcW w:w="2552" w:type="dxa"/>
          </w:tcPr>
          <w:p w:rsidRPr="0011179E" w:rsidR="009E2337" w:rsidP="009E2337" w:rsidRDefault="009E2337" w14:paraId="63FABEAA" w14:textId="61C3E57F">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2571788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5A817FA" w14:textId="77777777">
        <w:tc>
          <w:tcPr>
            <w:tcW w:w="4786" w:type="dxa"/>
          </w:tcPr>
          <w:p w:rsidRPr="0011179E" w:rsidR="009E2337" w:rsidP="009E2337" w:rsidRDefault="009E2337" w14:paraId="769BE754" w14:textId="2163C70E">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Airport departures. Airport jobs</w:t>
            </w:r>
            <w:r>
              <w:rPr>
                <w:rFonts w:ascii="Times New Roman" w:hAnsi="Times New Roman"/>
                <w:bCs/>
                <w:color w:val="000000"/>
                <w:sz w:val="20"/>
                <w:szCs w:val="20"/>
              </w:rPr>
              <w:t>, standards of performance</w:t>
            </w:r>
          </w:p>
        </w:tc>
        <w:tc>
          <w:tcPr>
            <w:tcW w:w="2552" w:type="dxa"/>
          </w:tcPr>
          <w:p w:rsidRPr="0011179E" w:rsidR="009E2337" w:rsidP="009E2337" w:rsidRDefault="009E2337" w14:paraId="56067701" w14:textId="723A4DE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9E2337" w:rsidP="009E2337" w:rsidRDefault="009E2337" w14:paraId="511034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090C80" w:rsidTr="00BF5739" w14:paraId="16B40179" w14:textId="77777777">
        <w:tc>
          <w:tcPr>
            <w:tcW w:w="4786" w:type="dxa"/>
          </w:tcPr>
          <w:p w:rsidRPr="0011179E" w:rsidR="00090C80" w:rsidP="00206FE9" w:rsidRDefault="00090C80" w14:paraId="759AAA10" w14:textId="5CE118B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Final </w:t>
            </w:r>
            <w:proofErr w:type="spellStart"/>
            <w:r>
              <w:rPr>
                <w:rFonts w:ascii="Times New Roman" w:hAnsi="Times New Roman" w:eastAsia="Times New Roman"/>
                <w:sz w:val="20"/>
                <w:szCs w:val="20"/>
                <w:lang w:val="ro-RO" w:eastAsia="zh-CN"/>
              </w:rPr>
              <w:t>written</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exam</w:t>
            </w:r>
            <w:proofErr w:type="spellEnd"/>
          </w:p>
        </w:tc>
        <w:tc>
          <w:tcPr>
            <w:tcW w:w="2552" w:type="dxa"/>
          </w:tcPr>
          <w:p w:rsidRPr="009B0F57" w:rsidR="00090C80" w:rsidP="00206FE9" w:rsidRDefault="00090C80" w14:paraId="497B167B" w14:textId="77777777">
            <w:pPr>
              <w:spacing w:after="0" w:line="240" w:lineRule="auto"/>
              <w:rPr>
                <w:rFonts w:ascii="Times New Roman" w:hAnsi="Times New Roman" w:eastAsia="Times New Roman"/>
                <w:sz w:val="20"/>
                <w:szCs w:val="20"/>
                <w:lang w:val="ro-RO" w:eastAsia="zh-CN"/>
              </w:rPr>
            </w:pPr>
          </w:p>
        </w:tc>
        <w:tc>
          <w:tcPr>
            <w:tcW w:w="2835" w:type="dxa"/>
          </w:tcPr>
          <w:p w:rsidRPr="0011179E" w:rsidR="00090C80" w:rsidP="00206FE9" w:rsidRDefault="00090C80" w14:paraId="121A5177" w14:textId="2D62D66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2 h</w:t>
            </w:r>
          </w:p>
        </w:tc>
      </w:tr>
      <w:tr w:rsidRPr="0011179E" w:rsidR="00206FE9" w:rsidTr="00BF5739" w14:paraId="0E224705" w14:textId="77777777">
        <w:tc>
          <w:tcPr>
            <w:tcW w:w="10173" w:type="dxa"/>
            <w:gridSpan w:val="3"/>
          </w:tcPr>
          <w:p w:rsidRPr="0011179E" w:rsidR="00206FE9" w:rsidP="00BF5739" w:rsidRDefault="00090C80" w14:paraId="4CACB733" w14:textId="21BD36FF">
            <w:pPr>
              <w:spacing w:after="0" w:line="240" w:lineRule="auto"/>
              <w:rPr>
                <w:rFonts w:ascii="Times New Roman" w:hAnsi="Times New Roman" w:eastAsia="Times New Roman"/>
                <w:sz w:val="20"/>
                <w:szCs w:val="20"/>
                <w:lang w:val="ro-RO" w:eastAsia="zh-CN"/>
              </w:rPr>
            </w:pPr>
            <w:proofErr w:type="spellStart"/>
            <w:r>
              <w:rPr>
                <w:rFonts w:ascii="Times New Roman" w:hAnsi="Times New Roman" w:eastAsia="Times New Roman"/>
                <w:sz w:val="20"/>
                <w:szCs w:val="20"/>
                <w:lang w:val="ro-RO" w:eastAsia="zh-CN"/>
              </w:rPr>
              <w:t>Bibliography</w:t>
            </w:r>
            <w:proofErr w:type="spellEnd"/>
            <w:r w:rsidRPr="0011179E" w:rsidR="00206FE9">
              <w:rPr>
                <w:rFonts w:ascii="Times New Roman" w:hAnsi="Times New Roman" w:eastAsia="Times New Roman"/>
                <w:sz w:val="20"/>
                <w:szCs w:val="20"/>
                <w:lang w:val="ro-RO" w:eastAsia="zh-CN"/>
              </w:rPr>
              <w:t>:</w:t>
            </w:r>
          </w:p>
          <w:p w:rsidRPr="0011179E" w:rsidR="00206FE9" w:rsidP="00BF5739" w:rsidRDefault="00206FE9" w14:paraId="18FCF03A"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Walker, Robin; Harding, </w:t>
            </w:r>
            <w:proofErr w:type="spellStart"/>
            <w:r w:rsidRPr="0011179E">
              <w:rPr>
                <w:rFonts w:ascii="Times New Roman" w:hAnsi="Times New Roman" w:eastAsia="Times New Roman"/>
                <w:sz w:val="20"/>
                <w:szCs w:val="20"/>
                <w:lang w:val="ro-RO" w:eastAsia="zh-CN"/>
              </w:rPr>
              <w:t>Keith</w:t>
            </w:r>
            <w:proofErr w:type="spellEnd"/>
            <w:r w:rsidRPr="0011179E">
              <w:rPr>
                <w:rFonts w:ascii="Times New Roman" w:hAnsi="Times New Roman" w:eastAsia="Times New Roman"/>
                <w:sz w:val="20"/>
                <w:szCs w:val="20"/>
                <w:lang w:val="ro-RO" w:eastAsia="zh-CN"/>
              </w:rPr>
              <w:t xml:space="preserve"> – Oxford English for </w:t>
            </w:r>
            <w:proofErr w:type="spellStart"/>
            <w:r w:rsidRPr="0011179E">
              <w:rPr>
                <w:rFonts w:ascii="Times New Roman" w:hAnsi="Times New Roman" w:eastAsia="Times New Roman"/>
                <w:sz w:val="20"/>
                <w:szCs w:val="20"/>
                <w:lang w:val="ro-RO" w:eastAsia="zh-CN"/>
              </w:rPr>
              <w:t>Careers</w:t>
            </w:r>
            <w:proofErr w:type="spellEnd"/>
            <w:r w:rsidRPr="0011179E">
              <w:rPr>
                <w:rFonts w:ascii="Times New Roman" w:hAnsi="Times New Roman" w:eastAsia="Times New Roman"/>
                <w:sz w:val="20"/>
                <w:szCs w:val="20"/>
                <w:lang w:val="ro-RO" w:eastAsia="zh-CN"/>
              </w:rPr>
              <w:t xml:space="preserve"> 1 – </w:t>
            </w:r>
            <w:proofErr w:type="spellStart"/>
            <w:r w:rsidRPr="0011179E">
              <w:rPr>
                <w:rFonts w:ascii="Times New Roman" w:hAnsi="Times New Roman" w:eastAsia="Times New Roman"/>
                <w:sz w:val="20"/>
                <w:szCs w:val="20"/>
                <w:lang w:val="ro-RO" w:eastAsia="zh-CN"/>
              </w:rPr>
              <w:t>Tourism</w:t>
            </w:r>
            <w:proofErr w:type="spellEnd"/>
            <w:r w:rsidRPr="0011179E">
              <w:rPr>
                <w:rFonts w:ascii="Times New Roman" w:hAnsi="Times New Roman" w:eastAsia="Times New Roman"/>
                <w:sz w:val="20"/>
                <w:szCs w:val="20"/>
                <w:lang w:val="ro-RO" w:eastAsia="zh-CN"/>
              </w:rPr>
              <w:t>, Oxford University, Press, 2006</w:t>
            </w:r>
          </w:p>
          <w:p w:rsidRPr="0011179E" w:rsidR="00206FE9" w:rsidP="00BF5739" w:rsidRDefault="00206FE9" w14:paraId="3A98AC99" w14:textId="77777777">
            <w:pPr>
              <w:spacing w:after="0" w:line="240" w:lineRule="auto"/>
              <w:rPr>
                <w:rFonts w:ascii="Times New Roman" w:hAnsi="Times New Roman" w:eastAsia="Times New Roman"/>
                <w:sz w:val="20"/>
                <w:szCs w:val="20"/>
                <w:lang w:val="ro-RO" w:eastAsia="zh-CN"/>
              </w:rPr>
            </w:pPr>
            <w:proofErr w:type="spellStart"/>
            <w:r w:rsidRPr="0011179E">
              <w:rPr>
                <w:rFonts w:ascii="Times New Roman" w:hAnsi="Times New Roman" w:eastAsia="Times New Roman"/>
                <w:sz w:val="20"/>
                <w:szCs w:val="20"/>
                <w:lang w:val="ro-RO" w:eastAsia="zh-CN"/>
              </w:rPr>
              <w:t>Dignen</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Sheila</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Viney</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Brigit</w:t>
            </w:r>
            <w:proofErr w:type="spellEnd"/>
            <w:r w:rsidRPr="0011179E">
              <w:rPr>
                <w:rFonts w:ascii="Times New Roman" w:hAnsi="Times New Roman" w:eastAsia="Times New Roman"/>
                <w:sz w:val="20"/>
                <w:szCs w:val="20"/>
                <w:lang w:val="ro-RO" w:eastAsia="zh-CN"/>
              </w:rPr>
              <w:t xml:space="preserve"> – </w:t>
            </w:r>
            <w:proofErr w:type="spellStart"/>
            <w:r w:rsidRPr="0011179E">
              <w:rPr>
                <w:rFonts w:ascii="Times New Roman" w:hAnsi="Times New Roman" w:eastAsia="Times New Roman"/>
                <w:sz w:val="20"/>
                <w:szCs w:val="20"/>
                <w:lang w:val="ro-RO" w:eastAsia="zh-CN"/>
              </w:rPr>
              <w:t>Grammar</w:t>
            </w:r>
            <w:proofErr w:type="spellEnd"/>
            <w:r w:rsidRPr="0011179E">
              <w:rPr>
                <w:rFonts w:ascii="Times New Roman" w:hAnsi="Times New Roman" w:eastAsia="Times New Roman"/>
                <w:sz w:val="20"/>
                <w:szCs w:val="20"/>
                <w:lang w:val="ro-RO" w:eastAsia="zh-CN"/>
              </w:rPr>
              <w:t xml:space="preserve"> Practice for Intermediate </w:t>
            </w:r>
            <w:proofErr w:type="spellStart"/>
            <w:r w:rsidRPr="0011179E">
              <w:rPr>
                <w:rFonts w:ascii="Times New Roman" w:hAnsi="Times New Roman" w:eastAsia="Times New Roman"/>
                <w:sz w:val="20"/>
                <w:szCs w:val="20"/>
                <w:lang w:val="ro-RO" w:eastAsia="zh-CN"/>
              </w:rPr>
              <w:t>Students</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Pearson</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Longman</w:t>
            </w:r>
            <w:proofErr w:type="spellEnd"/>
            <w:r w:rsidRPr="0011179E">
              <w:rPr>
                <w:rFonts w:ascii="Times New Roman" w:hAnsi="Times New Roman" w:eastAsia="Times New Roman"/>
                <w:sz w:val="20"/>
                <w:szCs w:val="20"/>
                <w:lang w:val="ro-RO" w:eastAsia="zh-CN"/>
              </w:rPr>
              <w:t>, 2007</w:t>
            </w:r>
          </w:p>
        </w:tc>
      </w:tr>
    </w:tbl>
    <w:p w:rsidR="00667581" w:rsidP="00667581" w:rsidRDefault="00667581" w14:paraId="1C594104" w14:textId="2F7673A5">
      <w:pPr>
        <w:spacing w:after="0" w:line="240" w:lineRule="auto"/>
        <w:rPr>
          <w:rFonts w:ascii="Times New Roman" w:hAnsi="Times New Roman"/>
          <w:sz w:val="20"/>
          <w:szCs w:val="20"/>
          <w:lang w:val="en-GB"/>
        </w:rPr>
      </w:pPr>
    </w:p>
    <w:p w:rsidRPr="00667581" w:rsidR="00206FE9" w:rsidP="00667581" w:rsidRDefault="00206FE9" w14:paraId="6E3F4DE4" w14:textId="77777777">
      <w:pPr>
        <w:spacing w:after="0" w:line="240" w:lineRule="auto"/>
        <w:rPr>
          <w:rFonts w:ascii="Times New Roman" w:hAnsi="Times New Roman"/>
          <w:sz w:val="20"/>
          <w:szCs w:val="20"/>
          <w:lang w:val="en-GB"/>
        </w:rPr>
      </w:pPr>
    </w:p>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BF5739"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proofErr w:type="spellStart"/>
            <w:r w:rsidRPr="005446C4" w:rsidR="00117995">
              <w:rPr>
                <w:rFonts w:ascii="Times New Roman" w:hAnsi="Times New Roman"/>
                <w:bCs/>
                <w:sz w:val="20"/>
                <w:szCs w:val="20"/>
                <w:lang w:val="ro-RO"/>
              </w:rPr>
              <w:t>Timişoara</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Iaşi</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Tîrgu-Mureş</w:t>
            </w:r>
            <w:proofErr w:type="spellEnd"/>
            <w:r w:rsidRPr="005446C4" w:rsidR="00117995">
              <w:rPr>
                <w:rFonts w:ascii="Times New Roman" w:hAnsi="Times New Roman"/>
                <w:bCs/>
                <w:sz w:val="20"/>
                <w:szCs w:val="20"/>
                <w:lang w:val="ro-RO"/>
              </w:rPr>
              <w:t>,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 xml:space="preserve">Washington, </w:t>
            </w:r>
            <w:proofErr w:type="spellStart"/>
            <w:r w:rsidRPr="005446C4" w:rsidR="00234E80">
              <w:rPr>
                <w:rFonts w:ascii="Times New Roman" w:hAnsi="Times New Roman"/>
                <w:bCs/>
                <w:sz w:val="20"/>
                <w:szCs w:val="20"/>
                <w:lang w:val="ro-RO"/>
              </w:rPr>
              <w:t>North</w:t>
            </w:r>
            <w:proofErr w:type="spellEnd"/>
            <w:r w:rsidRPr="005446C4" w:rsidR="00234E80">
              <w:rPr>
                <w:rFonts w:ascii="Times New Roman" w:hAnsi="Times New Roman"/>
                <w:bCs/>
                <w:sz w:val="20"/>
                <w:szCs w:val="20"/>
                <w:lang w:val="ro-RO"/>
              </w:rPr>
              <w:t xml:space="preserve"> Carolina, </w:t>
            </w:r>
            <w:proofErr w:type="spellStart"/>
            <w:r w:rsidRPr="005446C4" w:rsidR="00234E80">
              <w:rPr>
                <w:rFonts w:ascii="Times New Roman" w:hAnsi="Times New Roman"/>
                <w:bCs/>
                <w:sz w:val="20"/>
                <w:szCs w:val="20"/>
                <w:lang w:val="ro-RO"/>
              </w:rPr>
              <w:t>Southampton</w:t>
            </w:r>
            <w:proofErr w:type="spellEnd"/>
            <w:r w:rsidRPr="005446C4" w:rsidR="00234E80">
              <w:rPr>
                <w:rFonts w:ascii="Times New Roman" w:hAnsi="Times New Roman"/>
                <w:bCs/>
                <w:sz w:val="20"/>
                <w:szCs w:val="20"/>
                <w:lang w:val="ro-RO"/>
              </w:rPr>
              <w:t xml:space="preserve">, </w:t>
            </w:r>
            <w:proofErr w:type="spellStart"/>
            <w:r w:rsidRPr="005446C4" w:rsidR="00234E80">
              <w:rPr>
                <w:rFonts w:ascii="Times New Roman" w:hAnsi="Times New Roman"/>
                <w:bCs/>
                <w:sz w:val="20"/>
                <w:szCs w:val="20"/>
                <w:lang w:val="ro-RO"/>
              </w:rPr>
              <w:t>Darmouth</w:t>
            </w:r>
            <w:proofErr w:type="spellEnd"/>
            <w:r w:rsidRPr="005446C4" w:rsidR="00234E80">
              <w:rPr>
                <w:rFonts w:ascii="Times New Roman" w:hAnsi="Times New Roman"/>
                <w:bCs/>
                <w:sz w:val="20"/>
                <w:szCs w:val="20"/>
                <w:lang w:val="ro-RO"/>
              </w:rPr>
              <w:t>,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BF5739"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5314A4" w:rsidTr="00667581" w14:paraId="3136E6DF" w14:textId="77777777">
        <w:trPr>
          <w:trHeight w:val="739"/>
        </w:trPr>
        <w:tc>
          <w:tcPr>
            <w:tcW w:w="836" w:type="pct"/>
            <w:shd w:val="clear" w:color="auto" w:fill="auto"/>
          </w:tcPr>
          <w:p w:rsidRPr="00667581" w:rsidR="005314A4" w:rsidP="00667581" w:rsidRDefault="005314A4" w14:paraId="0AA5EAF7" w14:textId="54682F17">
            <w:pPr>
              <w:pStyle w:val="Default"/>
              <w:rPr>
                <w:color w:val="auto"/>
                <w:lang w:val="en-GB" w:eastAsia="ro-RO"/>
              </w:rPr>
            </w:pPr>
            <w:r>
              <w:rPr>
                <w:color w:val="auto"/>
                <w:lang w:val="en-GB" w:eastAsia="ro-RO"/>
              </w:rPr>
              <w:t>10.5 Seminar</w:t>
            </w:r>
          </w:p>
        </w:tc>
        <w:tc>
          <w:tcPr>
            <w:tcW w:w="1898" w:type="pct"/>
            <w:vMerge w:val="restart"/>
            <w:shd w:val="clear" w:color="auto" w:fill="auto"/>
          </w:tcPr>
          <w:p w:rsidR="005314A4" w:rsidP="00667581" w:rsidRDefault="005314A4" w14:paraId="28133A49"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w:t>
            </w:r>
          </w:p>
          <w:p w:rsidR="005314A4" w:rsidP="00667581" w:rsidRDefault="005314A4" w14:paraId="64124EA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5314A4" w:rsidP="00667581" w:rsidRDefault="005314A4" w14:paraId="3A2F0BD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5314A4" w:rsidP="00667581" w:rsidRDefault="005314A4" w14:paraId="0039AC53" w14:textId="7464437C">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667581" w:rsidR="005314A4" w:rsidP="005314A4" w:rsidRDefault="005314A4" w14:paraId="1A33AF51" w14:textId="24FF2A43">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005314A4" w:rsidP="005314A4" w:rsidRDefault="005314A4" w14:paraId="119F3F77" w14:textId="77777777">
            <w:pPr>
              <w:pStyle w:val="Default"/>
              <w:numPr>
                <w:ilvl w:val="0"/>
                <w:numId w:val="15"/>
              </w:numPr>
              <w:rPr>
                <w:color w:val="auto"/>
                <w:lang w:val="en-GB" w:eastAsia="ro-RO"/>
              </w:rPr>
            </w:pPr>
            <w:r>
              <w:rPr>
                <w:color w:val="auto"/>
                <w:lang w:val="en-GB" w:eastAsia="ro-RO"/>
              </w:rPr>
              <w:t>Active participation and engagement</w:t>
            </w:r>
          </w:p>
          <w:p w:rsidRPr="00667581" w:rsidR="005314A4" w:rsidP="005314A4" w:rsidRDefault="005314A4" w14:paraId="4BD988FF" w14:textId="13099DEB">
            <w:pPr>
              <w:pStyle w:val="Default"/>
              <w:numPr>
                <w:ilvl w:val="0"/>
                <w:numId w:val="15"/>
              </w:numPr>
              <w:rPr>
                <w:color w:val="auto"/>
                <w:lang w:val="en-GB" w:eastAsia="ro-RO"/>
              </w:rPr>
            </w:pPr>
            <w:r>
              <w:rPr>
                <w:color w:val="auto"/>
                <w:lang w:val="en-GB" w:eastAsia="ro-RO"/>
              </w:rPr>
              <w:t>Project work</w:t>
            </w:r>
          </w:p>
        </w:tc>
        <w:tc>
          <w:tcPr>
            <w:tcW w:w="807" w:type="pct"/>
            <w:shd w:val="clear" w:color="auto" w:fill="auto"/>
          </w:tcPr>
          <w:p w:rsidRPr="00667581" w:rsidR="005314A4" w:rsidP="00667581" w:rsidRDefault="005314A4" w14:paraId="73697EEB" w14:textId="19495444">
            <w:pPr>
              <w:pStyle w:val="Default"/>
              <w:rPr>
                <w:color w:val="auto"/>
                <w:lang w:val="en-GB" w:eastAsia="ro-RO"/>
              </w:rPr>
            </w:pPr>
            <w:r>
              <w:rPr>
                <w:color w:val="auto"/>
                <w:lang w:val="en-GB" w:eastAsia="ro-RO"/>
              </w:rPr>
              <w:t>20%</w:t>
            </w:r>
          </w:p>
        </w:tc>
      </w:tr>
      <w:tr w:rsidRPr="00667581" w:rsidR="005314A4" w:rsidTr="00667581" w14:paraId="5191284C" w14:textId="77777777">
        <w:trPr>
          <w:trHeight w:val="739"/>
        </w:trPr>
        <w:tc>
          <w:tcPr>
            <w:tcW w:w="836" w:type="pct"/>
            <w:shd w:val="clear" w:color="auto" w:fill="auto"/>
          </w:tcPr>
          <w:p w:rsidR="005314A4" w:rsidP="00667581" w:rsidRDefault="005314A4" w14:paraId="11044E06" w14:textId="77777777">
            <w:pPr>
              <w:pStyle w:val="Default"/>
              <w:rPr>
                <w:color w:val="auto"/>
                <w:lang w:val="en-GB" w:eastAsia="ro-RO"/>
              </w:rPr>
            </w:pPr>
          </w:p>
        </w:tc>
        <w:tc>
          <w:tcPr>
            <w:tcW w:w="1898" w:type="pct"/>
            <w:vMerge/>
            <w:shd w:val="clear" w:color="auto" w:fill="auto"/>
          </w:tcPr>
          <w:p w:rsidRPr="00667581" w:rsidR="005314A4" w:rsidP="00667581" w:rsidRDefault="005314A4" w14:paraId="6D31FAE4"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5314A4" w:rsidP="005314A4" w:rsidRDefault="005314A4" w14:paraId="3172FE4E" w14:textId="77FA25F5">
            <w:pPr>
              <w:pStyle w:val="Default"/>
              <w:numPr>
                <w:ilvl w:val="0"/>
                <w:numId w:val="15"/>
              </w:numPr>
              <w:rPr>
                <w:color w:val="auto"/>
                <w:lang w:val="en-GB" w:eastAsia="ro-RO"/>
              </w:rPr>
            </w:pPr>
            <w:r>
              <w:rPr>
                <w:color w:val="auto"/>
                <w:lang w:val="en-GB" w:eastAsia="ro-RO"/>
              </w:rPr>
              <w:t>Final written exam</w:t>
            </w:r>
          </w:p>
        </w:tc>
        <w:tc>
          <w:tcPr>
            <w:tcW w:w="807" w:type="pct"/>
            <w:shd w:val="clear" w:color="auto" w:fill="auto"/>
          </w:tcPr>
          <w:p w:rsidRPr="00667581" w:rsidR="005314A4" w:rsidP="00667581" w:rsidRDefault="005314A4" w14:paraId="2392CB62" w14:textId="4D177B36">
            <w:pPr>
              <w:pStyle w:val="Default"/>
              <w:rPr>
                <w:color w:val="auto"/>
                <w:lang w:val="en-GB" w:eastAsia="ro-RO"/>
              </w:rPr>
            </w:pPr>
            <w:r>
              <w:rPr>
                <w:color w:val="auto"/>
                <w:lang w:val="en-GB" w:eastAsia="ro-RO"/>
              </w:rPr>
              <w:t>80%</w:t>
            </w:r>
          </w:p>
        </w:tc>
      </w:tr>
      <w:tr w:rsidRPr="00667581" w:rsidR="00667581" w:rsidTr="00BF5739"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BF5739" w14:paraId="59C08FE7" w14:textId="77777777">
        <w:trPr>
          <w:trHeight w:val="363"/>
        </w:trPr>
        <w:tc>
          <w:tcPr>
            <w:tcW w:w="5000" w:type="pct"/>
            <w:gridSpan w:val="4"/>
            <w:shd w:val="clear" w:color="auto" w:fill="auto"/>
          </w:tcPr>
          <w:p w:rsidR="00667581" w:rsidP="00667581" w:rsidRDefault="005314A4" w14:paraId="2EC265E1" w14:textId="77777777">
            <w:pPr>
              <w:pStyle w:val="Default"/>
              <w:rPr>
                <w:color w:val="auto"/>
                <w:lang w:val="en-GB" w:eastAsia="ro-RO"/>
              </w:rPr>
            </w:pPr>
            <w:r>
              <w:rPr>
                <w:color w:val="auto"/>
                <w:lang w:val="en-GB" w:eastAsia="ro-RO"/>
              </w:rPr>
              <w:t>The students will be able to:</w:t>
            </w:r>
          </w:p>
          <w:p w:rsidR="005314A4" w:rsidP="005314A4" w:rsidRDefault="005314A4" w14:paraId="3CA66D67" w14:textId="77777777">
            <w:pPr>
              <w:pStyle w:val="Default"/>
              <w:numPr>
                <w:ilvl w:val="0"/>
                <w:numId w:val="15"/>
              </w:numPr>
              <w:rPr>
                <w:color w:val="auto"/>
                <w:lang w:val="en-GB" w:eastAsia="ro-RO"/>
              </w:rPr>
            </w:pPr>
            <w:r>
              <w:rPr>
                <w:color w:val="auto"/>
                <w:lang w:val="en-GB" w:eastAsia="ro-RO"/>
              </w:rPr>
              <w:t>Make use of listening, reading, speaking and writing skills in general and specific purpose contexts</w:t>
            </w:r>
          </w:p>
          <w:p w:rsidR="005314A4" w:rsidP="005314A4" w:rsidRDefault="005314A4" w14:paraId="13D2AD35" w14:textId="77777777">
            <w:pPr>
              <w:pStyle w:val="Default"/>
              <w:numPr>
                <w:ilvl w:val="0"/>
                <w:numId w:val="15"/>
              </w:numPr>
              <w:rPr>
                <w:color w:val="auto"/>
                <w:lang w:val="en-GB" w:eastAsia="ro-RO"/>
              </w:rPr>
            </w:pPr>
            <w:r>
              <w:rPr>
                <w:color w:val="auto"/>
                <w:lang w:val="en-GB" w:eastAsia="ro-RO"/>
              </w:rPr>
              <w:t>Apply individual learning strategies in developing academic reading and in improving specialised vocabulary through printed and electronic resources</w:t>
            </w:r>
          </w:p>
          <w:p w:rsidR="005314A4" w:rsidP="005314A4" w:rsidRDefault="005314A4" w14:paraId="6F029636" w14:textId="77777777">
            <w:pPr>
              <w:pStyle w:val="Default"/>
              <w:numPr>
                <w:ilvl w:val="0"/>
                <w:numId w:val="15"/>
              </w:numPr>
              <w:rPr>
                <w:color w:val="auto"/>
                <w:lang w:val="en-GB" w:eastAsia="ro-RO"/>
              </w:rPr>
            </w:pPr>
            <w:r>
              <w:rPr>
                <w:color w:val="auto"/>
                <w:lang w:val="en-GB" w:eastAsia="ro-RO"/>
              </w:rPr>
              <w:t>Write academic texts (articles, essays, reports etc)</w:t>
            </w:r>
          </w:p>
          <w:p w:rsidR="005314A4" w:rsidP="005314A4" w:rsidRDefault="005314A4" w14:paraId="592FB79A" w14:textId="77777777">
            <w:pPr>
              <w:pStyle w:val="Default"/>
              <w:numPr>
                <w:ilvl w:val="0"/>
                <w:numId w:val="15"/>
              </w:numPr>
              <w:rPr>
                <w:color w:val="auto"/>
                <w:lang w:val="en-GB" w:eastAsia="ro-RO"/>
              </w:rPr>
            </w:pPr>
            <w:r>
              <w:rPr>
                <w:color w:val="auto"/>
                <w:lang w:val="en-GB" w:eastAsia="ro-RO"/>
              </w:rPr>
              <w:t xml:space="preserve">Present </w:t>
            </w:r>
            <w:r w:rsidR="00C26CEB">
              <w:rPr>
                <w:color w:val="auto"/>
                <w:lang w:val="en-GB" w:eastAsia="ro-RO"/>
              </w:rPr>
              <w:t>learning products orally</w:t>
            </w:r>
          </w:p>
          <w:p w:rsidRPr="00667581" w:rsidR="00C26CEB" w:rsidP="005314A4" w:rsidRDefault="00C26CEB" w14:paraId="3F311A09" w14:textId="67B6A821">
            <w:pPr>
              <w:pStyle w:val="Default"/>
              <w:numPr>
                <w:ilvl w:val="0"/>
                <w:numId w:val="15"/>
              </w:numPr>
              <w:rPr>
                <w:color w:val="auto"/>
                <w:lang w:val="en-GB" w:eastAsia="ro-RO"/>
              </w:rPr>
            </w:pPr>
            <w:r>
              <w:rPr>
                <w:color w:val="auto"/>
                <w:lang w:val="en-GB" w:eastAsia="ro-RO"/>
              </w:rPr>
              <w:t>Communicate the content of individual and collaborative academic work.</w:t>
            </w:r>
          </w:p>
        </w:tc>
      </w:tr>
      <w:tr w:rsidRPr="00667581" w:rsidR="00667581" w:rsidTr="00BF5739"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2DD78A04"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C26CEB" w14:paraId="478C3253" w14:textId="7C7AFCF4">
            <w:pPr>
              <w:spacing w:after="0" w:line="240" w:lineRule="auto"/>
              <w:contextualSpacing/>
              <w:rPr>
                <w:rFonts w:ascii="Times New Roman" w:hAnsi="Times New Roman"/>
                <w:sz w:val="20"/>
                <w:szCs w:val="20"/>
                <w:lang w:val="en-GB" w:eastAsia="ro-RO"/>
              </w:rPr>
            </w:pPr>
            <w:r w:rsidRPr="2DD78A04" w:rsidR="00C26CEB">
              <w:rPr>
                <w:rFonts w:ascii="Times New Roman" w:hAnsi="Times New Roman"/>
                <w:sz w:val="20"/>
                <w:szCs w:val="20"/>
                <w:lang w:val="en-GB" w:eastAsia="ro-RO"/>
              </w:rPr>
              <w:t>20.0</w:t>
            </w:r>
            <w:r w:rsidRPr="2DD78A04" w:rsidR="7F834CBB">
              <w:rPr>
                <w:rFonts w:ascii="Times New Roman" w:hAnsi="Times New Roman"/>
                <w:sz w:val="20"/>
                <w:szCs w:val="20"/>
                <w:lang w:val="en-GB" w:eastAsia="ro-RO"/>
              </w:rPr>
              <w:t>3</w:t>
            </w:r>
            <w:r w:rsidRPr="2DD78A04" w:rsidR="00C26CEB">
              <w:rPr>
                <w:rFonts w:ascii="Times New Roman" w:hAnsi="Times New Roman"/>
                <w:sz w:val="20"/>
                <w:szCs w:val="20"/>
                <w:lang w:val="en-GB" w:eastAsia="ro-RO"/>
              </w:rPr>
              <w:t>.202</w:t>
            </w:r>
            <w:r w:rsidRPr="2DD78A04" w:rsidR="5DD85EA9">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347870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C26CEB" w:rsidP="00667581" w:rsidRDefault="00C26CEB" w14:paraId="4A142E60" w14:textId="0343E502">
            <w:pPr>
              <w:spacing w:after="0" w:line="240" w:lineRule="auto"/>
              <w:contextualSpacing/>
              <w:rPr>
                <w:rFonts w:ascii="Times New Roman" w:hAnsi="Times New Roman"/>
                <w:sz w:val="20"/>
                <w:szCs w:val="20"/>
                <w:lang w:val="en-GB" w:eastAsia="ro-RO"/>
              </w:rPr>
            </w:pPr>
            <w:r w:rsidRPr="00B14685">
              <w:rPr>
                <w:noProof/>
              </w:rPr>
              <w:drawing>
                <wp:inline distT="0" distB="0" distL="0" distR="0" wp14:anchorId="5EB51FD1" wp14:editId="65928791">
                  <wp:extent cx="962025" cy="294005"/>
                  <wp:effectExtent l="0" t="0" r="0" b="0"/>
                  <wp:docPr id="2" name="Picture 0" descr="Captur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descr="Capture.PNG"/>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294005"/>
                          </a:xfrm>
                          <a:prstGeom prst="rect">
                            <a:avLst/>
                          </a:prstGeom>
                          <a:noFill/>
                          <a:ln>
                            <a:noFill/>
                          </a:ln>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2DD78A04"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C26CEB" w:rsidR="00667581" w:rsidP="302FA085" w:rsidRDefault="00BF5739" w14:paraId="79ADFFD7" w14:textId="566B234A">
            <w:pPr>
              <w:spacing w:after="0" w:line="240" w:lineRule="auto"/>
              <w:contextualSpacing/>
              <w:rPr>
                <w:rFonts w:ascii="Times New Roman" w:hAnsi="Times New Roman"/>
                <w:sz w:val="20"/>
                <w:szCs w:val="20"/>
                <w:lang w:val="en-GB" w:eastAsia="ro-RO"/>
              </w:rPr>
            </w:pPr>
            <w:r w:rsidRPr="2DD78A04" w:rsidR="6A3118E3">
              <w:rPr>
                <w:rFonts w:ascii="Times New Roman" w:hAnsi="Times New Roman"/>
                <w:sz w:val="20"/>
                <w:szCs w:val="20"/>
                <w:lang w:val="en-GB" w:eastAsia="ro-RO"/>
              </w:rPr>
              <w:t>3</w:t>
            </w:r>
            <w:r w:rsidRPr="2DD78A04" w:rsidR="00BF5739">
              <w:rPr>
                <w:rFonts w:ascii="Times New Roman" w:hAnsi="Times New Roman"/>
                <w:sz w:val="20"/>
                <w:szCs w:val="20"/>
                <w:lang w:val="en-GB" w:eastAsia="ro-RO"/>
              </w:rPr>
              <w:t>1</w:t>
            </w:r>
            <w:r w:rsidRPr="2DD78A04" w:rsidR="00C26CEB">
              <w:rPr>
                <w:rFonts w:ascii="Times New Roman" w:hAnsi="Times New Roman"/>
                <w:sz w:val="20"/>
                <w:szCs w:val="20"/>
                <w:lang w:val="en-GB" w:eastAsia="ro-RO"/>
              </w:rPr>
              <w:t>.0</w:t>
            </w:r>
            <w:r w:rsidRPr="2DD78A04" w:rsidR="3B8E2ECC">
              <w:rPr>
                <w:rFonts w:ascii="Times New Roman" w:hAnsi="Times New Roman"/>
                <w:sz w:val="20"/>
                <w:szCs w:val="20"/>
                <w:lang w:val="en-GB" w:eastAsia="ro-RO"/>
              </w:rPr>
              <w:t>3</w:t>
            </w:r>
            <w:r w:rsidRPr="2DD78A04" w:rsidR="00C26CEB">
              <w:rPr>
                <w:rFonts w:ascii="Times New Roman" w:hAnsi="Times New Roman"/>
                <w:sz w:val="20"/>
                <w:szCs w:val="20"/>
                <w:lang w:val="en-GB" w:eastAsia="ro-RO"/>
              </w:rPr>
              <w:t>.202</w:t>
            </w:r>
            <w:r w:rsidRPr="2DD78A04" w:rsidR="1F89034E">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2DD78A04" w:rsidRDefault="00667581" w14:paraId="5D2437C2" w14:textId="6623FD4D">
            <w:pPr>
              <w:pStyle w:val="Normal"/>
              <w:spacing w:after="0" w:line="240" w:lineRule="auto"/>
              <w:contextualSpacing/>
              <w:rPr/>
            </w:pPr>
            <w:r w:rsidRPr="2DD78A04" w:rsidR="00667581">
              <w:rPr>
                <w:rFonts w:ascii="Times New Roman" w:hAnsi="Times New Roman"/>
                <w:sz w:val="20"/>
                <w:szCs w:val="20"/>
                <w:lang w:val="en-GB" w:eastAsia="ro-RO"/>
              </w:rPr>
              <w:t xml:space="preserve"> </w:t>
            </w:r>
            <w:r w:rsidR="5F76363E">
              <w:drawing>
                <wp:inline wp14:editId="2DD78A04" wp14:anchorId="0A5D526F">
                  <wp:extent cx="914400" cy="457200"/>
                  <wp:effectExtent l="0" t="0" r="0" b="0"/>
                  <wp:docPr id="646323864" name="" title=""/>
                  <wp:cNvGraphicFramePr>
                    <a:graphicFrameLocks noChangeAspect="1"/>
                  </wp:cNvGraphicFramePr>
                  <a:graphic>
                    <a:graphicData uri="http://schemas.openxmlformats.org/drawingml/2006/picture">
                      <pic:pic>
                        <pic:nvPicPr>
                          <pic:cNvPr id="0" name=""/>
                          <pic:cNvPicPr/>
                        </pic:nvPicPr>
                        <pic:blipFill>
                          <a:blip r:embed="R536b3f2e7dd74a8c">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Pr="00667581" w:rsidR="00667581" w:rsidTr="2DD78A04"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9"/>
      <w:pgSz w:w="11907" w:h="16839" w:orient="portrait" w:code="9"/>
      <w:pgMar w:top="-2880" w:right="851" w:bottom="284" w:left="1134" w:header="0" w:footer="720" w:gutter="0"/>
      <w:cols w:space="720"/>
      <w:docGrid w:linePitch="360"/>
      <w:footerReference w:type="default" r:id="Rca71bfa5f64449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7B8B" w:rsidP="006A18D1" w:rsidRDefault="00217B8B" w14:paraId="24C29B0E" w14:textId="77777777">
      <w:pPr>
        <w:spacing w:after="0" w:line="240" w:lineRule="auto"/>
      </w:pPr>
      <w:r>
        <w:separator/>
      </w:r>
    </w:p>
  </w:endnote>
  <w:endnote w:type="continuationSeparator" w:id="0">
    <w:p w:rsidR="00217B8B" w:rsidP="006A18D1" w:rsidRDefault="00217B8B" w14:paraId="55A27452" w14:textId="77777777">
      <w:pPr>
        <w:spacing w:after="0" w:line="240" w:lineRule="auto"/>
      </w:pPr>
      <w:r>
        <w:continuationSeparator/>
      </w:r>
    </w:p>
  </w:endnote>
  <w:endnote w:type="continuationNotice" w:id="1">
    <w:p w:rsidR="00852989" w:rsidRDefault="00852989" w14:paraId="2FAB7F2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Yu Gothic"/>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7BEF20A" w:rsidTr="37BEF20A" w14:paraId="4C46C098">
      <w:tc>
        <w:tcPr>
          <w:tcW w:w="3305" w:type="dxa"/>
          <w:tcMar/>
        </w:tcPr>
        <w:p w:rsidR="37BEF20A" w:rsidP="37BEF20A" w:rsidRDefault="37BEF20A" w14:paraId="43D6042F" w14:textId="615380DD">
          <w:pPr>
            <w:pStyle w:val="Header"/>
            <w:bidi w:val="0"/>
            <w:ind w:left="-115"/>
            <w:jc w:val="left"/>
            <w:rPr>
              <w:sz w:val="22"/>
              <w:szCs w:val="22"/>
            </w:rPr>
          </w:pPr>
        </w:p>
      </w:tc>
      <w:tc>
        <w:tcPr>
          <w:tcW w:w="3305" w:type="dxa"/>
          <w:tcMar/>
        </w:tcPr>
        <w:p w:rsidR="37BEF20A" w:rsidP="37BEF20A" w:rsidRDefault="37BEF20A" w14:paraId="29AA4B5A" w14:textId="57FCFD35">
          <w:pPr>
            <w:pStyle w:val="Header"/>
            <w:bidi w:val="0"/>
            <w:jc w:val="center"/>
            <w:rPr>
              <w:sz w:val="22"/>
              <w:szCs w:val="22"/>
            </w:rPr>
          </w:pPr>
        </w:p>
      </w:tc>
      <w:tc>
        <w:tcPr>
          <w:tcW w:w="3305" w:type="dxa"/>
          <w:tcMar/>
        </w:tcPr>
        <w:p w:rsidR="37BEF20A" w:rsidP="37BEF20A" w:rsidRDefault="37BEF20A" w14:paraId="5A07B223" w14:textId="33E33F7E">
          <w:pPr>
            <w:pStyle w:val="Header"/>
            <w:bidi w:val="0"/>
            <w:ind w:right="-115"/>
            <w:jc w:val="right"/>
            <w:rPr>
              <w:sz w:val="22"/>
              <w:szCs w:val="22"/>
            </w:rPr>
          </w:pPr>
        </w:p>
      </w:tc>
    </w:tr>
  </w:tbl>
  <w:p w:rsidR="37BEF20A" w:rsidP="37BEF20A" w:rsidRDefault="37BEF20A" w14:paraId="729510C9" w14:textId="29585AFD">
    <w:pPr>
      <w:pStyle w:val="Footer"/>
      <w:bidi w:val="0"/>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7B8B" w:rsidP="006A18D1" w:rsidRDefault="00217B8B" w14:paraId="5F955D8D" w14:textId="77777777">
      <w:pPr>
        <w:spacing w:after="0" w:line="240" w:lineRule="auto"/>
      </w:pPr>
      <w:r>
        <w:separator/>
      </w:r>
    </w:p>
  </w:footnote>
  <w:footnote w:type="continuationSeparator" w:id="0">
    <w:p w:rsidR="00217B8B" w:rsidP="006A18D1" w:rsidRDefault="00217B8B" w14:paraId="366A6D8E" w14:textId="77777777">
      <w:pPr>
        <w:spacing w:after="0" w:line="240" w:lineRule="auto"/>
      </w:pPr>
      <w:r>
        <w:continuationSeparator/>
      </w:r>
    </w:p>
  </w:footnote>
  <w:footnote w:type="continuationNotice" w:id="1">
    <w:p w:rsidR="00852989" w:rsidRDefault="00852989" w14:paraId="6C0640E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DB20BD" w14:paraId="1855ABBC" w14:textId="474679CD">
    <w:pPr>
      <w:pStyle w:val="Header"/>
      <w:ind w:left="-1440"/>
    </w:pPr>
    <w:r>
      <w:t xml:space="preserve"> </w:t>
    </w:r>
  </w:p>
  <w:p w:rsidR="00B15494" w:rsidP="036B89F2" w:rsidRDefault="00932BD1" w14:paraId="29AA1BFF" w14:textId="4276B3EB">
    <w:pPr>
      <w:pStyle w:val="Header"/>
      <w:ind w:firstLine="4050"/>
      <w:jc w:val="center"/>
      <w:rPr/>
    </w:pPr>
    <w:r>
      <w:br/>
    </w:r>
    <w:r w:rsidR="036B89F2">
      <w:rPr/>
      <w:t xml:space="preserve">                                                                                   </w:t>
    </w:r>
    <w:r w:rsidR="036B89F2">
      <w:drawing>
        <wp:inline wp14:editId="185D0C65" wp14:anchorId="4B5E6E45">
          <wp:extent cx="5610225" cy="1227237"/>
          <wp:effectExtent l="0" t="0" r="0" b="0"/>
          <wp:docPr id="79759213" name="" title=""/>
          <wp:cNvGraphicFramePr>
            <a:graphicFrameLocks noChangeAspect="1"/>
          </wp:cNvGraphicFramePr>
          <a:graphic>
            <a:graphicData uri="http://schemas.openxmlformats.org/drawingml/2006/picture">
              <pic:pic>
                <pic:nvPicPr>
                  <pic:cNvPr id="0" name=""/>
                  <pic:cNvPicPr/>
                </pic:nvPicPr>
                <pic:blipFill>
                  <a:blip r:embed="R5cd2b9c4e28b43a3">
                    <a:extLst>
                      <a:ext xmlns:a="http://schemas.openxmlformats.org/drawingml/2006/main" uri="{28A0092B-C50C-407E-A947-70E740481C1C}">
                        <a14:useLocalDpi val="0"/>
                      </a:ext>
                    </a:extLst>
                  </a:blip>
                  <a:stretch>
                    <a:fillRect/>
                  </a:stretch>
                </pic:blipFill>
                <pic:spPr>
                  <a:xfrm>
                    <a:off x="0" y="0"/>
                    <a:ext cx="5610225" cy="12272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164EB5"/>
    <w:multiLevelType w:val="hybridMultilevel"/>
    <w:tmpl w:val="9C5AA206"/>
    <w:lvl w:ilvl="0" w:tplc="BAF27226">
      <w:start w:val="10"/>
      <w:numFmt w:val="bullet"/>
      <w:lvlText w:val="-"/>
      <w:lvlJc w:val="left"/>
      <w:pPr>
        <w:ind w:left="720" w:hanging="360"/>
      </w:pPr>
      <w:rPr>
        <w:rFonts w:hint="default" w:ascii="Times New Roman" w:hAnsi="Times New Roman" w:eastAsia="ヒラギノ角ゴ Pro W3"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E594EF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1"/>
  </w:num>
  <w:num w:numId="2">
    <w:abstractNumId w:val="4"/>
  </w:num>
  <w:num w:numId="3">
    <w:abstractNumId w:val="9"/>
  </w:num>
  <w:num w:numId="4">
    <w:abstractNumId w:val="12"/>
  </w:num>
  <w:num w:numId="5">
    <w:abstractNumId w:val="0"/>
  </w:num>
  <w:num w:numId="6">
    <w:abstractNumId w:val="8"/>
  </w:num>
  <w:num w:numId="7">
    <w:abstractNumId w:val="16"/>
  </w:num>
  <w:num w:numId="8">
    <w:abstractNumId w:val="7"/>
  </w:num>
  <w:num w:numId="9">
    <w:abstractNumId w:val="15"/>
  </w:num>
  <w:num w:numId="10">
    <w:abstractNumId w:val="6"/>
  </w:num>
  <w:num w:numId="11">
    <w:abstractNumId w:val="18"/>
  </w:num>
  <w:num w:numId="12">
    <w:abstractNumId w:val="13"/>
  </w:num>
  <w:num w:numId="13">
    <w:abstractNumId w:val="20"/>
  </w:num>
  <w:num w:numId="14">
    <w:abstractNumId w:val="14"/>
  </w:num>
  <w:num w:numId="15">
    <w:abstractNumId w:val="17"/>
  </w:num>
  <w:num w:numId="16">
    <w:abstractNumId w:val="2"/>
  </w:num>
  <w:num w:numId="17">
    <w:abstractNumId w:val="1"/>
  </w:num>
  <w:num w:numId="18">
    <w:abstractNumId w:val="5"/>
  </w:num>
  <w:num w:numId="19">
    <w:abstractNumId w:val="3"/>
  </w:num>
  <w:num w:numId="20">
    <w:abstractNumId w:val="19"/>
  </w:num>
  <w:num w:numId="21">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n-AU" w:vendorID="64" w:dllVersion="4096"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0C80"/>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044B6"/>
    <w:rsid w:val="00206FE9"/>
    <w:rsid w:val="00217B8B"/>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AAC"/>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14A4"/>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056A"/>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C3D26"/>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2989"/>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8F5017"/>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43B4"/>
    <w:rsid w:val="009B5EE4"/>
    <w:rsid w:val="009B6994"/>
    <w:rsid w:val="009C01BF"/>
    <w:rsid w:val="009C7377"/>
    <w:rsid w:val="009D1EA8"/>
    <w:rsid w:val="009D6DAE"/>
    <w:rsid w:val="009E2073"/>
    <w:rsid w:val="009E2337"/>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5512E"/>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739"/>
    <w:rsid w:val="00BF59D5"/>
    <w:rsid w:val="00C1316F"/>
    <w:rsid w:val="00C14CFF"/>
    <w:rsid w:val="00C16CEF"/>
    <w:rsid w:val="00C20B09"/>
    <w:rsid w:val="00C2307B"/>
    <w:rsid w:val="00C253B6"/>
    <w:rsid w:val="00C26CEB"/>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A1FA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B21"/>
    <w:rsid w:val="00EA3FBD"/>
    <w:rsid w:val="00EA65C2"/>
    <w:rsid w:val="00EC3203"/>
    <w:rsid w:val="00ED2F6F"/>
    <w:rsid w:val="00ED3012"/>
    <w:rsid w:val="00ED3168"/>
    <w:rsid w:val="00ED3A1E"/>
    <w:rsid w:val="00EE7985"/>
    <w:rsid w:val="00F0370E"/>
    <w:rsid w:val="00F04A5D"/>
    <w:rsid w:val="00F06F16"/>
    <w:rsid w:val="00F131C4"/>
    <w:rsid w:val="00F17EF7"/>
    <w:rsid w:val="00F202B6"/>
    <w:rsid w:val="00F20C7B"/>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36B89F2"/>
    <w:rsid w:val="13912326"/>
    <w:rsid w:val="1F89034E"/>
    <w:rsid w:val="2DD78A04"/>
    <w:rsid w:val="302FA085"/>
    <w:rsid w:val="31187E96"/>
    <w:rsid w:val="37BEF20A"/>
    <w:rsid w:val="3B8E2ECC"/>
    <w:rsid w:val="5DD85EA9"/>
    <w:rsid w:val="5F76363E"/>
    <w:rsid w:val="6A3118E3"/>
    <w:rsid w:val="6AF7478E"/>
    <w:rsid w:val="74EB1807"/>
    <w:rsid w:val="7F834C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79E70B0E-ED75-44CC-B73B-66F7888F92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oter" Target="footer.xml" Id="Rca71bfa5f6444958" /><Relationship Type="http://schemas.openxmlformats.org/officeDocument/2006/relationships/image" Target="/media/image3.png" Id="R536b3f2e7dd74a8c" /></Relationships>
</file>

<file path=word/_rels/header1.xml.rels>&#65279;<?xml version="1.0" encoding="utf-8"?><Relationships xmlns="http://schemas.openxmlformats.org/package/2006/relationships"><Relationship Type="http://schemas.openxmlformats.org/officeDocument/2006/relationships/image" Target="/media/image4.png" Id="R5cd2b9c4e28b43a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50</revision>
  <lastPrinted>2018-04-24T17:05:00.0000000Z</lastPrinted>
  <dcterms:created xsi:type="dcterms:W3CDTF">2021-02-16T00:59:00.0000000Z</dcterms:created>
  <dcterms:modified xsi:type="dcterms:W3CDTF">2024-04-07T14:43:08.4786419Z</dcterms:modified>
</coreProperties>
</file>