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48BF0E41"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48BF0E41"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48BF0E41"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48BF0E41"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48BF0E41"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825E01" w14:paraId="5AF72189" w14:textId="4AB9A5E9">
            <w:pPr>
              <w:pStyle w:val="Default"/>
              <w:rPr>
                <w:color w:val="auto"/>
                <w:lang w:val="en-GB" w:eastAsia="ro-RO"/>
              </w:rPr>
            </w:pPr>
            <w:r>
              <w:rPr>
                <w:color w:val="auto"/>
                <w:lang w:val="en-GB" w:eastAsia="ro-RO"/>
              </w:rPr>
              <w:t>BA</w:t>
            </w:r>
          </w:p>
        </w:tc>
      </w:tr>
      <w:tr w:rsidRPr="00667581" w:rsidR="00667581" w:rsidTr="48BF0E41"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F53837" w:rsidR="00667581" w:rsidP="48BF0E41" w:rsidRDefault="4190D4DF" w14:paraId="23283235" w14:textId="7DC93BD5">
            <w:pPr>
              <w:pStyle w:val="Default"/>
              <w:rPr>
                <w:rStyle w:val="Emphasis"/>
                <w:i w:val="0"/>
                <w:iCs w:val="0"/>
                <w:color w:val="auto"/>
                <w:lang w:val="hu-HU" w:eastAsia="ro-RO"/>
              </w:rPr>
            </w:pPr>
            <w:r w:rsidRPr="48BF0E41">
              <w:rPr>
                <w:rStyle w:val="Emphasis"/>
                <w:i w:val="0"/>
                <w:iCs w:val="0"/>
                <w:color w:val="auto"/>
                <w:shd w:val="clear" w:color="auto" w:fill="FFFFFF"/>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59512E3F" w:rsidRDefault="00667581" w14:paraId="3B29953C" w14:textId="2E816FC7">
      <w:pPr>
        <w:pStyle w:val="Heading1"/>
        <w:spacing w:before="0" w:after="0" w:line="240" w:lineRule="auto"/>
        <w:rPr>
          <w:rFonts w:ascii="Times New Roman" w:hAnsi="Times New Roman" w:eastAsia="Lucida Sans Unicode"/>
          <w:color w:val="auto"/>
          <w:sz w:val="20"/>
          <w:szCs w:val="20"/>
          <w:lang w:val="en-GB"/>
        </w:rPr>
      </w:pPr>
      <w:r w:rsidRPr="59512E3F" w:rsidR="00667581">
        <w:rPr>
          <w:rFonts w:ascii="Times New Roman" w:hAnsi="Times New Roman" w:eastAsia="Lucida Sans Unicode"/>
          <w:color w:val="auto"/>
          <w:sz w:val="20"/>
          <w:szCs w:val="20"/>
          <w:lang w:val="en-GB"/>
        </w:rPr>
        <w:t>2. Information about the subject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46"/>
        <w:gridCol w:w="708"/>
        <w:gridCol w:w="2072"/>
        <w:gridCol w:w="448"/>
        <w:gridCol w:w="1528"/>
        <w:gridCol w:w="452"/>
        <w:gridCol w:w="1172"/>
        <w:gridCol w:w="1172"/>
        <w:gridCol w:w="914"/>
      </w:tblGrid>
      <w:tr w:rsidRPr="00667581" w:rsidR="00EC0CC4" w:rsidTr="48BF0E41" w14:paraId="27569F57" w14:textId="77777777">
        <w:trPr>
          <w:trHeight w:val="225"/>
        </w:trPr>
        <w:tc>
          <w:tcPr>
            <w:tcW w:w="1087" w:type="pct"/>
            <w:gridSpan w:val="2"/>
            <w:shd w:val="clear" w:color="auto" w:fill="auto"/>
          </w:tcPr>
          <w:p w:rsidRPr="00667581" w:rsidR="00EC0CC4" w:rsidP="00EC0CC4" w:rsidRDefault="00EC0CC4" w14:paraId="454EFA5C" w14:textId="1C5A5721">
            <w:pPr>
              <w:pStyle w:val="Default"/>
              <w:rPr>
                <w:color w:val="auto"/>
                <w:lang w:val="en-GB" w:eastAsia="ro-RO"/>
              </w:rPr>
            </w:pPr>
            <w:r w:rsidRPr="00667581">
              <w:rPr>
                <w:color w:val="auto"/>
                <w:lang w:val="en-GB" w:eastAsia="ro-RO"/>
              </w:rPr>
              <w:t xml:space="preserve">2.1 </w:t>
            </w:r>
            <w:r w:rsidRPr="00993000">
              <w:rPr>
                <w:color w:val="auto"/>
                <w:lang w:val="en-GB" w:eastAsia="ro-RO"/>
              </w:rPr>
              <w:t>Course title/Code</w:t>
            </w:r>
          </w:p>
        </w:tc>
        <w:tc>
          <w:tcPr>
            <w:tcW w:w="3913" w:type="pct"/>
            <w:gridSpan w:val="7"/>
            <w:shd w:val="clear" w:color="auto" w:fill="auto"/>
          </w:tcPr>
          <w:p w:rsidRPr="00667581" w:rsidR="00EC0CC4" w:rsidP="48BF0E41" w:rsidRDefault="40CE509A" w14:paraId="01E773EB" w14:textId="665A8260">
            <w:pPr>
              <w:spacing w:after="0" w:line="240" w:lineRule="auto"/>
              <w:rPr>
                <w:rStyle w:val="Strong"/>
                <w:rFonts w:ascii="Times New Roman" w:hAnsi="Times New Roman" w:eastAsia="ヒラギノ角ゴ Pro W3"/>
                <w:color w:val="000000" w:themeColor="text1"/>
              </w:rPr>
            </w:pPr>
            <w:r w:rsidRPr="48BF0E41">
              <w:rPr>
                <w:rStyle w:val="Strong"/>
                <w:rFonts w:ascii="Times New Roman" w:hAnsi="Times New Roman"/>
              </w:rPr>
              <w:t>LLU0062 Russian for specific purposes – practical course</w:t>
            </w:r>
          </w:p>
        </w:tc>
      </w:tr>
      <w:tr w:rsidRPr="00667581" w:rsidR="00EC0CC4" w:rsidTr="48BF0E41" w14:paraId="6C7C530D" w14:textId="77777777">
        <w:trPr>
          <w:trHeight w:val="225"/>
        </w:trPr>
        <w:tc>
          <w:tcPr>
            <w:tcW w:w="1087" w:type="pct"/>
            <w:gridSpan w:val="2"/>
            <w:shd w:val="clear" w:color="auto" w:fill="auto"/>
          </w:tcPr>
          <w:p w:rsidRPr="00667581" w:rsidR="00EC0CC4" w:rsidP="00EC0CC4" w:rsidRDefault="00EC0CC4"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667581" w:rsidR="00EC0CC4" w:rsidP="00EC0CC4" w:rsidRDefault="00EC0CC4" w14:paraId="422A5143" w14:textId="79FFA0AA">
            <w:pPr>
              <w:pStyle w:val="Default"/>
              <w:rPr>
                <w:color w:val="auto"/>
                <w:lang w:val="en-GB" w:eastAsia="ro-RO"/>
              </w:rPr>
            </w:pPr>
          </w:p>
        </w:tc>
      </w:tr>
      <w:tr w:rsidRPr="00667581" w:rsidR="00EC0CC4" w:rsidTr="48BF0E41" w14:paraId="77677683" w14:textId="77777777">
        <w:trPr>
          <w:trHeight w:val="225"/>
        </w:trPr>
        <w:tc>
          <w:tcPr>
            <w:tcW w:w="1087" w:type="pct"/>
            <w:gridSpan w:val="2"/>
            <w:shd w:val="clear" w:color="auto" w:fill="auto"/>
          </w:tcPr>
          <w:p w:rsidRPr="00667581" w:rsidR="00EC0CC4" w:rsidP="00EC0CC4" w:rsidRDefault="00EC0CC4"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EC0CC4" w:rsidP="48BF0E41" w:rsidRDefault="45BE376A" w14:paraId="289487CB" w14:textId="4FCCDC83">
            <w:pPr>
              <w:pStyle w:val="Default"/>
              <w:rPr>
                <w:color w:val="auto"/>
                <w:lang w:val="en-GB" w:eastAsia="ro-RO"/>
              </w:rPr>
            </w:pPr>
            <w:r w:rsidRPr="48BF0E41">
              <w:rPr>
                <w:color w:val="auto"/>
                <w:lang w:val="en-GB" w:eastAsia="ro-RO"/>
              </w:rPr>
              <w:t>Lecturer Judit Bartalis, Phd</w:t>
            </w:r>
          </w:p>
          <w:p w:rsidRPr="00667581" w:rsidR="00EC0CC4" w:rsidP="48BF0E41" w:rsidRDefault="00EC0CC4" w14:paraId="07919756" w14:textId="5074CACD">
            <w:pPr>
              <w:pStyle w:val="Default"/>
              <w:rPr>
                <w:color w:val="000000" w:themeColor="text1"/>
                <w:lang w:val="en-GB" w:eastAsia="ro-RO"/>
              </w:rPr>
            </w:pPr>
          </w:p>
        </w:tc>
      </w:tr>
      <w:tr w:rsidRPr="00667581" w:rsidR="00FC66C9" w:rsidTr="48BF0E41" w14:paraId="0F24C69E" w14:textId="77777777">
        <w:trPr>
          <w:trHeight w:val="359"/>
        </w:trPr>
        <w:tc>
          <w:tcPr>
            <w:tcW w:w="730" w:type="pct"/>
            <w:vMerge w:val="restart"/>
            <w:shd w:val="clear" w:color="auto" w:fill="auto"/>
          </w:tcPr>
          <w:p w:rsidRPr="00667581" w:rsidR="00FC66C9" w:rsidP="00FC66C9" w:rsidRDefault="00FC66C9" w14:paraId="573A693D" w14:textId="77777777">
            <w:pPr>
              <w:pStyle w:val="Default"/>
              <w:rPr>
                <w:color w:val="auto"/>
                <w:lang w:val="en-GB" w:eastAsia="ro-RO"/>
              </w:rPr>
            </w:pPr>
            <w:r w:rsidRPr="00667581">
              <w:rPr>
                <w:color w:val="auto"/>
                <w:lang w:val="en-GB" w:eastAsia="ro-RO"/>
              </w:rPr>
              <w:t>2.4 Year of study</w:t>
            </w:r>
          </w:p>
        </w:tc>
        <w:tc>
          <w:tcPr>
            <w:tcW w:w="356" w:type="pct"/>
            <w:vMerge w:val="restart"/>
            <w:shd w:val="clear" w:color="auto" w:fill="auto"/>
          </w:tcPr>
          <w:p w:rsidRPr="00667581" w:rsidR="00FC66C9" w:rsidP="00FC66C9" w:rsidRDefault="00FC66C9" w14:paraId="76E4277E" w14:textId="0796F511">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FC66C9" w:rsidP="00FC66C9" w:rsidRDefault="00FC66C9"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F1125A" w:rsidR="00FC66C9" w:rsidP="00FC66C9" w:rsidRDefault="00FC66C9" w14:paraId="124BD977" w14:textId="29A6102A">
            <w:pPr>
              <w:pStyle w:val="Default"/>
              <w:rPr>
                <w:color w:val="auto"/>
                <w:lang w:val="en-US" w:eastAsia="ro-RO"/>
              </w:rPr>
            </w:pPr>
            <w:r>
              <w:rPr>
                <w:color w:val="auto"/>
                <w:lang w:val="en-US" w:eastAsia="ro-RO"/>
              </w:rPr>
              <w:t>2</w:t>
            </w:r>
          </w:p>
        </w:tc>
        <w:tc>
          <w:tcPr>
            <w:tcW w:w="771" w:type="pct"/>
            <w:vMerge w:val="restart"/>
            <w:shd w:val="clear" w:color="auto" w:fill="auto"/>
          </w:tcPr>
          <w:p w:rsidRPr="00667581" w:rsidR="00FC66C9" w:rsidP="00FC66C9" w:rsidRDefault="00FC66C9"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FC66C9" w:rsidP="00FC66C9" w:rsidRDefault="0411F8B6" w14:paraId="44E92F9E" w14:textId="4CA996FE">
            <w:pPr>
              <w:pStyle w:val="Default"/>
              <w:rPr>
                <w:color w:val="auto"/>
                <w:lang w:val="en-GB" w:eastAsia="ro-RO"/>
              </w:rPr>
            </w:pPr>
            <w:r w:rsidRPr="48BF0E41">
              <w:rPr>
                <w:color w:val="auto"/>
                <w:lang w:val="en-GB" w:eastAsia="ro-RO"/>
              </w:rPr>
              <w:t>E</w:t>
            </w:r>
          </w:p>
        </w:tc>
        <w:tc>
          <w:tcPr>
            <w:tcW w:w="591" w:type="pct"/>
            <w:vMerge w:val="restart"/>
            <w:shd w:val="clear" w:color="auto" w:fill="auto"/>
          </w:tcPr>
          <w:p w:rsidRPr="00667581" w:rsidR="00FC66C9" w:rsidP="00FC66C9" w:rsidRDefault="00FC66C9" w14:paraId="39A94241" w14:textId="6C08D3EA">
            <w:pPr>
              <w:pStyle w:val="Default"/>
              <w:rPr>
                <w:color w:val="auto"/>
                <w:lang w:val="en-GB" w:eastAsia="ro-RO"/>
              </w:rPr>
            </w:pPr>
            <w:r w:rsidRPr="00667581">
              <w:rPr>
                <w:color w:val="auto"/>
                <w:lang w:val="en-GB" w:eastAsia="ro-RO"/>
              </w:rPr>
              <w:t>2.7 Course status</w:t>
            </w:r>
          </w:p>
          <w:p w:rsidRPr="00667581" w:rsidR="00FC66C9" w:rsidP="00FC66C9" w:rsidRDefault="00FC66C9" w14:paraId="2D5F91E7" w14:textId="6E0F1CD0">
            <w:pPr>
              <w:pStyle w:val="Default"/>
              <w:jc w:val="right"/>
              <w:rPr>
                <w:color w:val="auto"/>
                <w:lang w:val="en-GB" w:eastAsia="ro-RO"/>
              </w:rPr>
            </w:pPr>
          </w:p>
        </w:tc>
        <w:tc>
          <w:tcPr>
            <w:tcW w:w="591" w:type="pct"/>
            <w:shd w:val="clear" w:color="auto" w:fill="auto"/>
          </w:tcPr>
          <w:p w:rsidRPr="00CE412F" w:rsidR="00FC66C9" w:rsidP="00FC66C9" w:rsidRDefault="00FC66C9"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00FC66C9" w:rsidP="00FC66C9" w:rsidRDefault="00FC66C9" w14:paraId="54C2B5D9" w14:textId="61A09646">
            <w:pPr>
              <w:pStyle w:val="Default"/>
              <w:rPr>
                <w:color w:val="auto"/>
                <w:lang w:val="en-GB" w:eastAsia="ro-RO"/>
              </w:rPr>
            </w:pPr>
            <w:r w:rsidRPr="48BF0E41">
              <w:rPr>
                <w:color w:val="auto"/>
                <w:lang w:val="en-GB" w:eastAsia="ro-RO"/>
              </w:rPr>
              <w:t>D</w:t>
            </w:r>
            <w:r w:rsidRPr="48BF0E41" w:rsidR="488A5982">
              <w:rPr>
                <w:color w:val="auto"/>
                <w:lang w:val="en-GB" w:eastAsia="ro-RO"/>
              </w:rPr>
              <w:t>C</w:t>
            </w:r>
          </w:p>
          <w:p w:rsidRPr="00667581" w:rsidR="00FC66C9" w:rsidP="00FC66C9" w:rsidRDefault="00FC66C9" w14:paraId="49139415" w14:textId="460BFBAB">
            <w:pPr>
              <w:pStyle w:val="Default"/>
              <w:rPr>
                <w:color w:val="auto"/>
                <w:lang w:val="en-GB" w:eastAsia="ro-RO"/>
              </w:rPr>
            </w:pPr>
          </w:p>
        </w:tc>
      </w:tr>
      <w:tr w:rsidRPr="00667581" w:rsidR="00FC66C9" w:rsidTr="48BF0E41" w14:paraId="40E4CFAA" w14:textId="77777777">
        <w:trPr>
          <w:trHeight w:val="170"/>
        </w:trPr>
        <w:tc>
          <w:tcPr>
            <w:tcW w:w="730" w:type="pct"/>
            <w:vMerge/>
          </w:tcPr>
          <w:p w:rsidRPr="00667581" w:rsidR="00FC66C9" w:rsidP="00FC66C9" w:rsidRDefault="00FC66C9" w14:paraId="16638EA3" w14:textId="77777777">
            <w:pPr>
              <w:pStyle w:val="Default"/>
              <w:rPr>
                <w:color w:val="auto"/>
                <w:lang w:val="en-GB" w:eastAsia="ro-RO"/>
              </w:rPr>
            </w:pPr>
          </w:p>
        </w:tc>
        <w:tc>
          <w:tcPr>
            <w:tcW w:w="356" w:type="pct"/>
            <w:vMerge/>
          </w:tcPr>
          <w:p w:rsidRPr="00667581" w:rsidR="00FC66C9" w:rsidP="00FC66C9" w:rsidRDefault="00FC66C9" w14:paraId="0463C5AE" w14:textId="77777777">
            <w:pPr>
              <w:pStyle w:val="Default"/>
              <w:rPr>
                <w:color w:val="auto"/>
                <w:lang w:val="en-GB" w:eastAsia="ro-RO"/>
              </w:rPr>
            </w:pPr>
          </w:p>
        </w:tc>
        <w:tc>
          <w:tcPr>
            <w:tcW w:w="1045" w:type="pct"/>
            <w:vMerge/>
          </w:tcPr>
          <w:p w:rsidRPr="00667581" w:rsidR="00FC66C9" w:rsidP="00FC66C9" w:rsidRDefault="00FC66C9" w14:paraId="02A35C1D" w14:textId="77777777">
            <w:pPr>
              <w:pStyle w:val="Default"/>
              <w:rPr>
                <w:color w:val="auto"/>
                <w:lang w:val="en-GB" w:eastAsia="ro-RO"/>
              </w:rPr>
            </w:pPr>
          </w:p>
        </w:tc>
        <w:tc>
          <w:tcPr>
            <w:tcW w:w="226" w:type="pct"/>
            <w:vMerge/>
          </w:tcPr>
          <w:p w:rsidRPr="00667581" w:rsidR="00FC66C9" w:rsidP="00FC66C9" w:rsidRDefault="00FC66C9" w14:paraId="501164FA" w14:textId="77777777">
            <w:pPr>
              <w:pStyle w:val="Default"/>
              <w:rPr>
                <w:color w:val="auto"/>
                <w:lang w:val="en-GB" w:eastAsia="ro-RO"/>
              </w:rPr>
            </w:pPr>
          </w:p>
        </w:tc>
        <w:tc>
          <w:tcPr>
            <w:tcW w:w="771" w:type="pct"/>
            <w:vMerge/>
          </w:tcPr>
          <w:p w:rsidRPr="00667581" w:rsidR="00FC66C9" w:rsidP="00FC66C9" w:rsidRDefault="00FC66C9" w14:paraId="465BBD9D" w14:textId="77777777">
            <w:pPr>
              <w:pStyle w:val="Default"/>
              <w:rPr>
                <w:color w:val="auto"/>
                <w:lang w:val="en-GB" w:eastAsia="ro-RO"/>
              </w:rPr>
            </w:pPr>
          </w:p>
        </w:tc>
        <w:tc>
          <w:tcPr>
            <w:tcW w:w="228" w:type="pct"/>
            <w:vMerge/>
          </w:tcPr>
          <w:p w:rsidRPr="00667581" w:rsidR="00FC66C9" w:rsidP="00FC66C9" w:rsidRDefault="00FC66C9" w14:paraId="48860501" w14:textId="77777777">
            <w:pPr>
              <w:pStyle w:val="Default"/>
              <w:rPr>
                <w:color w:val="auto"/>
                <w:lang w:val="en-GB" w:eastAsia="ro-RO"/>
              </w:rPr>
            </w:pPr>
          </w:p>
        </w:tc>
        <w:tc>
          <w:tcPr>
            <w:tcW w:w="591" w:type="pct"/>
            <w:vMerge/>
          </w:tcPr>
          <w:p w:rsidRPr="00667581" w:rsidR="00FC66C9" w:rsidP="00FC66C9" w:rsidRDefault="00FC66C9" w14:paraId="587AD074" w14:textId="77777777">
            <w:pPr>
              <w:pStyle w:val="Default"/>
              <w:rPr>
                <w:color w:val="auto"/>
                <w:lang w:val="en-GB" w:eastAsia="ro-RO"/>
              </w:rPr>
            </w:pPr>
          </w:p>
        </w:tc>
        <w:tc>
          <w:tcPr>
            <w:tcW w:w="591" w:type="pct"/>
            <w:shd w:val="clear" w:color="auto" w:fill="auto"/>
          </w:tcPr>
          <w:p w:rsidR="00FC66C9" w:rsidP="00FC66C9" w:rsidRDefault="00FC66C9"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FC66C9" w:rsidP="00FC66C9" w:rsidRDefault="00FC66C9" w14:paraId="45C20FCC" w14:textId="76BCDA34">
            <w:pPr>
              <w:pStyle w:val="Default"/>
              <w:rPr>
                <w:color w:val="auto"/>
                <w:lang w:val="en-GB" w:eastAsia="ro-RO"/>
              </w:rPr>
            </w:pPr>
            <w:r>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59512E3F" w:rsidRDefault="00667581" w14:paraId="2107F576" w14:textId="43015715">
      <w:pPr>
        <w:pStyle w:val="Heading1"/>
        <w:spacing w:before="0" w:after="0" w:line="240" w:lineRule="auto"/>
        <w:rPr>
          <w:rFonts w:ascii="Times New Roman" w:hAnsi="Times New Roman" w:eastAsia="Lucida Sans Unicode"/>
          <w:color w:val="auto"/>
          <w:sz w:val="20"/>
          <w:szCs w:val="20"/>
          <w:lang w:val="en-GB"/>
        </w:rPr>
      </w:pPr>
      <w:r w:rsidRPr="59512E3F" w:rsidR="00667581">
        <w:rPr>
          <w:rFonts w:ascii="Times New Roman" w:hAnsi="Times New Roman" w:eastAsia="Lucida Sans Unicode"/>
          <w:color w:val="auto"/>
          <w:sz w:val="20"/>
          <w:szCs w:val="20"/>
          <w:lang w:val="en-GB"/>
        </w:rPr>
        <w:t xml:space="preserve">3. Total estimated time (teaching hours per semester)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A764C9" w:rsidTr="48BF0E41" w14:paraId="3DEEF950" w14:textId="77777777">
        <w:trPr>
          <w:trHeight w:val="225"/>
        </w:trPr>
        <w:tc>
          <w:tcPr>
            <w:tcW w:w="1591" w:type="pct"/>
            <w:shd w:val="clear" w:color="auto" w:fill="auto"/>
          </w:tcPr>
          <w:p w:rsidRPr="00667581" w:rsidR="00A764C9" w:rsidP="00A764C9" w:rsidRDefault="00A764C9"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A764C9" w:rsidP="00A764C9" w:rsidRDefault="1ADC7851" w14:paraId="1648052C" w14:textId="5E25F0CC">
            <w:pPr>
              <w:pStyle w:val="Default"/>
              <w:jc w:val="center"/>
              <w:rPr>
                <w:color w:val="auto"/>
                <w:lang w:val="en-GB" w:eastAsia="ro-RO"/>
              </w:rPr>
            </w:pPr>
            <w:r w:rsidRPr="48BF0E41">
              <w:rPr>
                <w:color w:val="auto"/>
                <w:lang w:val="en-GB" w:eastAsia="ro-RO"/>
              </w:rPr>
              <w:t>2</w:t>
            </w:r>
          </w:p>
        </w:tc>
        <w:tc>
          <w:tcPr>
            <w:tcW w:w="976" w:type="pct"/>
            <w:shd w:val="clear" w:color="auto" w:fill="auto"/>
          </w:tcPr>
          <w:p w:rsidRPr="00667581" w:rsidR="00A764C9" w:rsidP="00A764C9" w:rsidRDefault="00A764C9"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A764C9" w:rsidP="00A764C9" w:rsidRDefault="00A764C9" w14:paraId="34D89D05" w14:textId="1F8BA4B2">
            <w:pPr>
              <w:pStyle w:val="Default"/>
              <w:jc w:val="center"/>
              <w:rPr>
                <w:color w:val="auto"/>
                <w:lang w:val="en-GB" w:eastAsia="ro-RO"/>
              </w:rPr>
            </w:pPr>
          </w:p>
        </w:tc>
        <w:tc>
          <w:tcPr>
            <w:tcW w:w="1311" w:type="pct"/>
            <w:shd w:val="clear" w:color="auto" w:fill="auto"/>
          </w:tcPr>
          <w:p w:rsidRPr="00667581" w:rsidR="00A764C9" w:rsidP="00A764C9" w:rsidRDefault="00A764C9"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A764C9" w:rsidP="48BF0E41" w:rsidRDefault="65E43714" w14:paraId="0158923E" w14:textId="02817416">
            <w:pPr>
              <w:pStyle w:val="Default"/>
              <w:spacing w:line="259" w:lineRule="auto"/>
              <w:jc w:val="center"/>
              <w:rPr>
                <w:color w:val="000000" w:themeColor="text1"/>
                <w:lang w:val="en-GB"/>
              </w:rPr>
            </w:pPr>
            <w:r w:rsidRPr="48BF0E41">
              <w:rPr>
                <w:lang w:val="en-GB"/>
              </w:rPr>
              <w:t>2</w:t>
            </w:r>
          </w:p>
        </w:tc>
      </w:tr>
      <w:tr w:rsidRPr="00667581" w:rsidR="00A764C9" w:rsidTr="48BF0E41" w14:paraId="026DBD5F" w14:textId="77777777">
        <w:trPr>
          <w:trHeight w:val="440"/>
        </w:trPr>
        <w:tc>
          <w:tcPr>
            <w:tcW w:w="1591" w:type="pct"/>
            <w:shd w:val="clear" w:color="auto" w:fill="auto"/>
          </w:tcPr>
          <w:p w:rsidRPr="00667581" w:rsidR="00A764C9" w:rsidP="00A764C9" w:rsidRDefault="00A764C9"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A764C9" w:rsidP="00A764C9" w:rsidRDefault="00825E01" w14:paraId="7980CDC4" w14:textId="39558987">
            <w:pPr>
              <w:pStyle w:val="Default"/>
              <w:jc w:val="center"/>
              <w:rPr>
                <w:color w:val="auto"/>
                <w:lang w:val="en-GB" w:eastAsia="ro-RO"/>
              </w:rPr>
            </w:pPr>
            <w:r w:rsidRPr="48BF0E41">
              <w:rPr>
                <w:color w:val="auto"/>
                <w:lang w:val="en-GB" w:eastAsia="ro-RO"/>
              </w:rPr>
              <w:t>2</w:t>
            </w:r>
            <w:r w:rsidRPr="48BF0E41" w:rsidR="26B6A28B">
              <w:rPr>
                <w:color w:val="auto"/>
                <w:lang w:val="en-GB" w:eastAsia="ro-RO"/>
              </w:rPr>
              <w:t>8</w:t>
            </w:r>
          </w:p>
        </w:tc>
        <w:tc>
          <w:tcPr>
            <w:tcW w:w="976" w:type="pct"/>
            <w:shd w:val="clear" w:color="auto" w:fill="auto"/>
          </w:tcPr>
          <w:p w:rsidRPr="00667581" w:rsidR="00A764C9" w:rsidP="00A764C9" w:rsidRDefault="00A764C9"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A764C9" w:rsidP="00A764C9" w:rsidRDefault="00A764C9" w14:paraId="31A23BB9" w14:textId="67B7E30C">
            <w:pPr>
              <w:pStyle w:val="Default"/>
              <w:jc w:val="center"/>
              <w:rPr>
                <w:color w:val="auto"/>
                <w:lang w:val="en-GB" w:eastAsia="ro-RO"/>
              </w:rPr>
            </w:pPr>
          </w:p>
        </w:tc>
        <w:tc>
          <w:tcPr>
            <w:tcW w:w="1311" w:type="pct"/>
            <w:shd w:val="clear" w:color="auto" w:fill="auto"/>
          </w:tcPr>
          <w:p w:rsidRPr="00667581" w:rsidR="00A764C9" w:rsidP="00A764C9" w:rsidRDefault="00A764C9"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A764C9" w:rsidP="48BF0E41" w:rsidRDefault="273C9895" w14:paraId="3F2ED352" w14:textId="20CD72E0">
            <w:pPr>
              <w:pStyle w:val="Default"/>
              <w:spacing w:line="259" w:lineRule="auto"/>
              <w:jc w:val="center"/>
              <w:rPr>
                <w:color w:val="000000" w:themeColor="text1"/>
                <w:lang w:val="en-GB"/>
              </w:rPr>
            </w:pPr>
            <w:r w:rsidRPr="48BF0E41">
              <w:rPr>
                <w:lang w:val="en-GB"/>
              </w:rPr>
              <w:t>28</w:t>
            </w:r>
          </w:p>
        </w:tc>
      </w:tr>
      <w:tr w:rsidRPr="00667581" w:rsidR="00A764C9" w:rsidTr="48BF0E41" w14:paraId="6F8F9BDB" w14:textId="77777777">
        <w:trPr>
          <w:trHeight w:val="225"/>
        </w:trPr>
        <w:tc>
          <w:tcPr>
            <w:tcW w:w="4617" w:type="pct"/>
            <w:gridSpan w:val="5"/>
            <w:shd w:val="clear" w:color="auto" w:fill="auto"/>
          </w:tcPr>
          <w:p w:rsidRPr="00667581" w:rsidR="00A764C9" w:rsidP="00A764C9" w:rsidRDefault="00A764C9"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A764C9" w:rsidP="00A764C9" w:rsidRDefault="00A764C9"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825E01" w:rsidTr="48BF0E41" w14:paraId="0A01D4D4" w14:textId="77777777">
        <w:trPr>
          <w:trHeight w:val="225"/>
        </w:trPr>
        <w:tc>
          <w:tcPr>
            <w:tcW w:w="4617" w:type="pct"/>
            <w:gridSpan w:val="5"/>
            <w:shd w:val="clear" w:color="auto" w:fill="auto"/>
          </w:tcPr>
          <w:p w:rsidRPr="00667581" w:rsidR="00825E01" w:rsidP="00825E01" w:rsidRDefault="00825E01" w14:paraId="735B131F" w14:textId="32A65086">
            <w:pPr>
              <w:pStyle w:val="Default"/>
              <w:rPr>
                <w:color w:val="auto"/>
                <w:lang w:val="en-GB" w:eastAsia="ro-RO"/>
              </w:rPr>
            </w:pPr>
            <w:r w:rsidRPr="00667581">
              <w:rPr>
                <w:color w:val="auto"/>
                <w:lang w:val="en-GB" w:eastAsia="ro-RO"/>
              </w:rPr>
              <w:t>Study based on textbook</w:t>
            </w:r>
            <w:r>
              <w:rPr>
                <w:color w:val="auto"/>
                <w:lang w:val="en-GB" w:eastAsia="ro-RO"/>
              </w:rPr>
              <w:t>/</w:t>
            </w:r>
            <w:r w:rsidRPr="00667581">
              <w:rPr>
                <w:color w:val="auto"/>
                <w:lang w:val="en-GB" w:eastAsia="ro-RO"/>
              </w:rPr>
              <w:t xml:space="preserve">course </w:t>
            </w:r>
            <w:r>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825E01" w:rsidR="00825E01" w:rsidP="00825E01" w:rsidRDefault="00825E01" w14:paraId="07F98221" w14:textId="762EF80E">
            <w:pPr>
              <w:pStyle w:val="Default"/>
              <w:jc w:val="center"/>
              <w:rPr>
                <w:color w:val="auto"/>
                <w:lang w:val="en-GB" w:eastAsia="ro-RO"/>
              </w:rPr>
            </w:pPr>
            <w:r w:rsidRPr="00825E01">
              <w:rPr>
                <w:lang w:val="en-GB"/>
              </w:rPr>
              <w:t>10</w:t>
            </w:r>
          </w:p>
        </w:tc>
      </w:tr>
      <w:tr w:rsidRPr="00667581" w:rsidR="00825E01" w:rsidTr="48BF0E41" w14:paraId="6D8C1422" w14:textId="77777777">
        <w:trPr>
          <w:trHeight w:val="225"/>
        </w:trPr>
        <w:tc>
          <w:tcPr>
            <w:tcW w:w="4617" w:type="pct"/>
            <w:gridSpan w:val="5"/>
            <w:shd w:val="clear" w:color="auto" w:fill="auto"/>
          </w:tcPr>
          <w:p w:rsidRPr="00667581" w:rsidR="00825E01" w:rsidP="00825E01" w:rsidRDefault="00825E01" w14:paraId="034E7C45" w14:textId="7619FC76">
            <w:pPr>
              <w:pStyle w:val="Default"/>
              <w:rPr>
                <w:color w:val="auto"/>
                <w:lang w:val="en-GB" w:eastAsia="ro-RO"/>
              </w:rPr>
            </w:pPr>
            <w:r>
              <w:rPr>
                <w:color w:val="auto"/>
                <w:lang w:val="en-GB" w:eastAsia="ro-RO"/>
              </w:rPr>
              <w:t>Additional research</w:t>
            </w:r>
            <w:r w:rsidRPr="00667581">
              <w:rPr>
                <w:color w:val="auto"/>
                <w:lang w:val="en-GB" w:eastAsia="ro-RO"/>
              </w:rPr>
              <w:t xml:space="preserve"> in the library</w:t>
            </w:r>
            <w:r>
              <w:rPr>
                <w:color w:val="auto"/>
                <w:lang w:val="en-GB" w:eastAsia="ro-RO"/>
              </w:rPr>
              <w:t xml:space="preserve">, by accessing scientific </w:t>
            </w:r>
            <w:r w:rsidRPr="00667581">
              <w:rPr>
                <w:color w:val="auto"/>
                <w:lang w:val="en-GB" w:eastAsia="ro-RO"/>
              </w:rPr>
              <w:t>databases</w:t>
            </w:r>
            <w:r>
              <w:rPr>
                <w:color w:val="auto"/>
                <w:lang w:val="en-GB" w:eastAsia="ro-RO"/>
              </w:rPr>
              <w:t>,</w:t>
            </w:r>
            <w:r w:rsidRPr="00667581">
              <w:rPr>
                <w:color w:val="auto"/>
                <w:lang w:val="en-GB" w:eastAsia="ro-RO"/>
              </w:rPr>
              <w:t xml:space="preserve"> </w:t>
            </w:r>
            <w:r>
              <w:rPr>
                <w:color w:val="auto"/>
                <w:lang w:val="en-GB" w:eastAsia="ro-RO"/>
              </w:rPr>
              <w:t>or during</w:t>
            </w:r>
            <w:r w:rsidRPr="00667581">
              <w:rPr>
                <w:color w:val="auto"/>
                <w:lang w:val="en-GB" w:eastAsia="ro-RO"/>
              </w:rPr>
              <w:t xml:space="preserve"> field </w:t>
            </w:r>
            <w:r>
              <w:rPr>
                <w:color w:val="auto"/>
                <w:lang w:val="en-GB" w:eastAsia="ro-RO"/>
              </w:rPr>
              <w:t>work</w:t>
            </w:r>
          </w:p>
        </w:tc>
        <w:tc>
          <w:tcPr>
            <w:tcW w:w="383" w:type="pct"/>
            <w:shd w:val="clear" w:color="auto" w:fill="auto"/>
          </w:tcPr>
          <w:p w:rsidRPr="00825E01" w:rsidR="00825E01" w:rsidP="00825E01" w:rsidRDefault="00825E01" w14:paraId="75021FD5" w14:textId="02EF2C0C">
            <w:pPr>
              <w:pStyle w:val="Default"/>
              <w:jc w:val="center"/>
              <w:rPr>
                <w:color w:val="auto"/>
                <w:lang w:val="en-GB" w:eastAsia="ro-RO"/>
              </w:rPr>
            </w:pPr>
            <w:r w:rsidRPr="00825E01">
              <w:rPr>
                <w:lang w:val="en-GB"/>
              </w:rPr>
              <w:t>10</w:t>
            </w:r>
          </w:p>
        </w:tc>
      </w:tr>
      <w:tr w:rsidRPr="00667581" w:rsidR="00825E01" w:rsidTr="48BF0E41" w14:paraId="7F9D3B20" w14:textId="77777777">
        <w:trPr>
          <w:trHeight w:val="225"/>
        </w:trPr>
        <w:tc>
          <w:tcPr>
            <w:tcW w:w="4617" w:type="pct"/>
            <w:gridSpan w:val="5"/>
            <w:shd w:val="clear" w:color="auto" w:fill="auto"/>
          </w:tcPr>
          <w:p w:rsidRPr="00667581" w:rsidR="00825E01" w:rsidP="00825E01" w:rsidRDefault="00825E01" w14:paraId="31ED4088" w14:textId="7B169707">
            <w:pPr>
              <w:pStyle w:val="Default"/>
              <w:rPr>
                <w:color w:val="auto"/>
                <w:lang w:val="en-GB" w:eastAsia="ro-RO"/>
              </w:rPr>
            </w:pPr>
            <w:r w:rsidRPr="00667581">
              <w:rPr>
                <w:color w:val="auto"/>
                <w:lang w:val="en-GB" w:eastAsia="ro-RO"/>
              </w:rPr>
              <w:t>Prepar</w:t>
            </w:r>
            <w:r>
              <w:rPr>
                <w:color w:val="auto"/>
                <w:lang w:val="en-GB" w:eastAsia="ro-RO"/>
              </w:rPr>
              <w:t>ation for</w:t>
            </w:r>
            <w:r w:rsidRPr="00667581">
              <w:rPr>
                <w:color w:val="auto"/>
                <w:lang w:val="en-GB" w:eastAsia="ro-RO"/>
              </w:rPr>
              <w:t xml:space="preserve"> seminars/laborator</w:t>
            </w:r>
            <w:r>
              <w:rPr>
                <w:color w:val="auto"/>
                <w:lang w:val="en-GB" w:eastAsia="ro-RO"/>
              </w:rPr>
              <w:t>y classes</w:t>
            </w:r>
            <w:r w:rsidRPr="00667581">
              <w:rPr>
                <w:color w:val="auto"/>
                <w:lang w:val="en-GB" w:eastAsia="ro-RO"/>
              </w:rPr>
              <w:t>, essays, portfolios and reports</w:t>
            </w:r>
          </w:p>
        </w:tc>
        <w:tc>
          <w:tcPr>
            <w:tcW w:w="383" w:type="pct"/>
            <w:shd w:val="clear" w:color="auto" w:fill="auto"/>
          </w:tcPr>
          <w:p w:rsidRPr="00825E01" w:rsidR="00825E01" w:rsidP="00825E01" w:rsidRDefault="00825E01" w14:paraId="75D175B3" w14:textId="2C797EAF">
            <w:pPr>
              <w:pStyle w:val="Default"/>
              <w:jc w:val="center"/>
              <w:rPr>
                <w:color w:val="auto"/>
                <w:lang w:val="en-GB" w:eastAsia="ro-RO"/>
              </w:rPr>
            </w:pPr>
            <w:r w:rsidRPr="00825E01">
              <w:rPr>
                <w:lang w:val="en-GB"/>
              </w:rPr>
              <w:t>10</w:t>
            </w:r>
          </w:p>
        </w:tc>
      </w:tr>
      <w:tr w:rsidRPr="00667581" w:rsidR="00825E01" w:rsidTr="48BF0E41" w14:paraId="1DD4E4B3" w14:textId="77777777">
        <w:trPr>
          <w:trHeight w:val="225"/>
        </w:trPr>
        <w:tc>
          <w:tcPr>
            <w:tcW w:w="4617" w:type="pct"/>
            <w:gridSpan w:val="5"/>
            <w:shd w:val="clear" w:color="auto" w:fill="auto"/>
          </w:tcPr>
          <w:p w:rsidRPr="00667581" w:rsidR="00825E01" w:rsidP="00825E01" w:rsidRDefault="00825E0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825E01" w:rsidR="00825E01" w:rsidP="00825E01" w:rsidRDefault="00825E01" w14:paraId="606BACE6" w14:textId="4BFDCD80">
            <w:pPr>
              <w:pStyle w:val="Default"/>
              <w:jc w:val="center"/>
              <w:rPr>
                <w:color w:val="auto"/>
                <w:lang w:val="en-GB" w:eastAsia="ro-RO"/>
              </w:rPr>
            </w:pPr>
            <w:r w:rsidRPr="00825E01">
              <w:rPr>
                <w:lang w:val="en-GB"/>
              </w:rPr>
              <w:t>6</w:t>
            </w:r>
          </w:p>
        </w:tc>
      </w:tr>
      <w:tr w:rsidRPr="00667581" w:rsidR="00825E01" w:rsidTr="48BF0E41" w14:paraId="33C095A2" w14:textId="77777777">
        <w:trPr>
          <w:trHeight w:val="225"/>
        </w:trPr>
        <w:tc>
          <w:tcPr>
            <w:tcW w:w="4617" w:type="pct"/>
            <w:gridSpan w:val="5"/>
            <w:shd w:val="clear" w:color="auto" w:fill="auto"/>
          </w:tcPr>
          <w:p w:rsidRPr="00667581" w:rsidR="00825E01" w:rsidP="00825E01" w:rsidRDefault="00825E0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825E01" w:rsidR="00825E01" w:rsidP="00825E01" w:rsidRDefault="00825E01" w14:paraId="0C73062D" w14:textId="62C194BE">
            <w:pPr>
              <w:pStyle w:val="Default"/>
              <w:jc w:val="center"/>
              <w:rPr>
                <w:color w:val="auto"/>
                <w:lang w:val="en-GB" w:eastAsia="ro-RO"/>
              </w:rPr>
            </w:pPr>
            <w:r w:rsidRPr="00825E01">
              <w:rPr>
                <w:lang w:val="en-GB"/>
              </w:rPr>
              <w:t>6</w:t>
            </w:r>
          </w:p>
        </w:tc>
      </w:tr>
      <w:tr w:rsidRPr="00667581" w:rsidR="00825E01" w:rsidTr="48BF0E41" w14:paraId="342B9739" w14:textId="77777777">
        <w:trPr>
          <w:trHeight w:val="225"/>
        </w:trPr>
        <w:tc>
          <w:tcPr>
            <w:tcW w:w="4617" w:type="pct"/>
            <w:gridSpan w:val="5"/>
            <w:shd w:val="clear" w:color="auto" w:fill="auto"/>
          </w:tcPr>
          <w:p w:rsidRPr="00667581" w:rsidR="00825E01" w:rsidP="00825E01" w:rsidRDefault="00825E0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825E01" w:rsidR="00825E01" w:rsidP="00825E01" w:rsidRDefault="00825E01" w14:paraId="76158F69" w14:textId="65E7AF52">
            <w:pPr>
              <w:pStyle w:val="Default"/>
              <w:jc w:val="center"/>
              <w:rPr>
                <w:color w:val="auto"/>
                <w:lang w:val="en-GB" w:eastAsia="ro-RO"/>
              </w:rPr>
            </w:pPr>
          </w:p>
        </w:tc>
      </w:tr>
      <w:tr w:rsidRPr="00667581" w:rsidR="008D057E" w:rsidTr="48BF0E41" w14:paraId="6828B0BE" w14:textId="77777777">
        <w:trPr>
          <w:trHeight w:val="225"/>
        </w:trPr>
        <w:tc>
          <w:tcPr>
            <w:tcW w:w="1591" w:type="pct"/>
            <w:shd w:val="clear" w:color="auto" w:fill="auto"/>
          </w:tcPr>
          <w:p w:rsidRPr="00667581" w:rsidR="008D057E" w:rsidP="008D057E" w:rsidRDefault="008D057E"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8D057E" w:rsidR="008D057E" w:rsidP="008D057E" w:rsidRDefault="008D057E" w14:paraId="686E9DD4" w14:textId="0A050AED">
            <w:pPr>
              <w:pStyle w:val="Default"/>
              <w:jc w:val="right"/>
              <w:rPr>
                <w:color w:val="auto"/>
                <w:lang w:val="en-GB" w:eastAsia="ro-RO"/>
              </w:rPr>
            </w:pPr>
            <w:r w:rsidRPr="008D057E">
              <w:rPr>
                <w:lang w:val="en-GB"/>
              </w:rPr>
              <w:t>42</w:t>
            </w:r>
          </w:p>
        </w:tc>
        <w:tc>
          <w:tcPr>
            <w:tcW w:w="3003" w:type="pct"/>
            <w:gridSpan w:val="4"/>
            <w:shd w:val="clear" w:color="auto" w:fill="auto"/>
          </w:tcPr>
          <w:p w:rsidRPr="00667581" w:rsidR="008D057E" w:rsidP="008D057E" w:rsidRDefault="008D057E" w14:paraId="76A9B8EF" w14:textId="77777777">
            <w:pPr>
              <w:spacing w:after="0" w:line="240" w:lineRule="auto"/>
              <w:rPr>
                <w:rFonts w:ascii="Times New Roman" w:hAnsi="Times New Roman"/>
                <w:sz w:val="20"/>
                <w:szCs w:val="20"/>
                <w:lang w:val="en-GB" w:eastAsia="ro-RO"/>
              </w:rPr>
            </w:pPr>
          </w:p>
        </w:tc>
      </w:tr>
      <w:tr w:rsidRPr="00667581" w:rsidR="008D057E" w:rsidTr="48BF0E41" w14:paraId="033D2592" w14:textId="77777777">
        <w:trPr>
          <w:trHeight w:val="220"/>
        </w:trPr>
        <w:tc>
          <w:tcPr>
            <w:tcW w:w="1591" w:type="pct"/>
            <w:shd w:val="clear" w:color="auto" w:fill="auto"/>
          </w:tcPr>
          <w:p w:rsidRPr="00667581" w:rsidR="008D057E" w:rsidP="008D057E" w:rsidRDefault="008D057E"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8D057E" w:rsidR="008D057E" w:rsidP="008D057E" w:rsidRDefault="008D057E" w14:paraId="401EC8DA" w14:textId="7E80D9CB">
            <w:pPr>
              <w:pStyle w:val="Default"/>
              <w:jc w:val="right"/>
              <w:rPr>
                <w:color w:val="auto"/>
                <w:lang w:val="en-GB" w:eastAsia="ro-RO"/>
              </w:rPr>
            </w:pPr>
            <w:r w:rsidRPr="008D057E">
              <w:rPr>
                <w:lang w:val="en-GB"/>
              </w:rPr>
              <w:t>70</w:t>
            </w:r>
          </w:p>
        </w:tc>
        <w:tc>
          <w:tcPr>
            <w:tcW w:w="3003" w:type="pct"/>
            <w:gridSpan w:val="4"/>
            <w:shd w:val="clear" w:color="auto" w:fill="auto"/>
          </w:tcPr>
          <w:p w:rsidRPr="00667581" w:rsidR="008D057E" w:rsidP="008D057E" w:rsidRDefault="008D057E" w14:paraId="780C198D" w14:textId="77777777">
            <w:pPr>
              <w:spacing w:after="0" w:line="240" w:lineRule="auto"/>
              <w:rPr>
                <w:rFonts w:ascii="Times New Roman" w:hAnsi="Times New Roman"/>
                <w:sz w:val="20"/>
                <w:szCs w:val="20"/>
                <w:lang w:val="en-GB" w:eastAsia="ro-RO"/>
              </w:rPr>
            </w:pPr>
          </w:p>
        </w:tc>
      </w:tr>
      <w:tr w:rsidRPr="00667581" w:rsidR="008D057E" w:rsidTr="48BF0E41" w14:paraId="5901675D" w14:textId="77777777">
        <w:trPr>
          <w:trHeight w:val="220"/>
        </w:trPr>
        <w:tc>
          <w:tcPr>
            <w:tcW w:w="1591" w:type="pct"/>
            <w:shd w:val="clear" w:color="auto" w:fill="auto"/>
          </w:tcPr>
          <w:p w:rsidRPr="00667581" w:rsidR="008D057E" w:rsidP="008D057E" w:rsidRDefault="008D057E"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8D057E" w:rsidR="008D057E" w:rsidP="008D057E" w:rsidRDefault="008D057E" w14:paraId="62886FCC" w14:textId="30304DB0">
            <w:pPr>
              <w:pStyle w:val="Default"/>
              <w:jc w:val="right"/>
              <w:rPr>
                <w:color w:val="auto"/>
                <w:lang w:val="en-GB" w:eastAsia="ro-RO"/>
              </w:rPr>
            </w:pPr>
            <w:r w:rsidRPr="008D057E">
              <w:rPr>
                <w:lang w:val="en-GB"/>
              </w:rPr>
              <w:t>3</w:t>
            </w:r>
          </w:p>
        </w:tc>
        <w:tc>
          <w:tcPr>
            <w:tcW w:w="3003" w:type="pct"/>
            <w:gridSpan w:val="4"/>
            <w:shd w:val="clear" w:color="auto" w:fill="auto"/>
          </w:tcPr>
          <w:p w:rsidRPr="00667581" w:rsidR="008D057E" w:rsidP="008D057E" w:rsidRDefault="008D057E"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59512E3F" w:rsidRDefault="00667581" w14:paraId="1D86123E" w14:textId="2465E8B5">
      <w:pPr>
        <w:pStyle w:val="Heading1"/>
        <w:spacing w:before="0" w:line="240" w:lineRule="auto"/>
        <w:rPr>
          <w:rFonts w:ascii="Times New Roman" w:hAnsi="Times New Roman"/>
          <w:color w:val="auto"/>
          <w:sz w:val="20"/>
          <w:szCs w:val="20"/>
          <w:lang w:val="en-GB"/>
        </w:rPr>
      </w:pPr>
      <w:r w:rsidRPr="59512E3F" w:rsidR="00667581">
        <w:rPr>
          <w:rFonts w:ascii="Times New Roman" w:hAnsi="Times New Roman"/>
          <w:color w:val="auto"/>
          <w:sz w:val="20"/>
          <w:szCs w:val="20"/>
          <w:lang w:val="en-GB"/>
        </w:rPr>
        <w:t>4. Pre</w:t>
      </w:r>
      <w:r w:rsidRPr="59512E3F" w:rsidR="00D91E7F">
        <w:rPr>
          <w:rFonts w:ascii="Times New Roman" w:hAnsi="Times New Roman"/>
          <w:color w:val="auto"/>
          <w:sz w:val="20"/>
          <w:szCs w:val="20"/>
          <w:lang w:val="en-GB"/>
        </w:rPr>
        <w:t>requisites</w:t>
      </w:r>
      <w:r w:rsidRPr="59512E3F" w:rsidR="00667581">
        <w:rPr>
          <w:rFonts w:ascii="Times New Roman" w:hAnsi="Times New Roman"/>
          <w:color w:val="auto"/>
          <w:sz w:val="20"/>
          <w:szCs w:val="20"/>
          <w:lang w:val="en-GB"/>
        </w:rPr>
        <w:t xml:space="preserve">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59512E3F" w:rsidRDefault="00667581" w14:paraId="1B4D1A76" w14:textId="07A35D41">
      <w:pPr>
        <w:pStyle w:val="Heading1"/>
        <w:spacing w:before="0" w:after="0" w:line="240" w:lineRule="auto"/>
        <w:rPr>
          <w:rFonts w:ascii="Times New Roman" w:hAnsi="Times New Roman" w:eastAsia="Lucida Sans Unicode"/>
          <w:color w:val="auto"/>
          <w:sz w:val="20"/>
          <w:szCs w:val="20"/>
          <w:lang w:val="en-GB"/>
        </w:rPr>
      </w:pPr>
      <w:r w:rsidRPr="59512E3F" w:rsidR="00667581">
        <w:rPr>
          <w:rFonts w:ascii="Times New Roman" w:hAnsi="Times New Roman" w:eastAsia="Lucida Sans Unicode"/>
          <w:color w:val="auto"/>
          <w:sz w:val="20"/>
          <w:szCs w:val="20"/>
          <w:lang w:val="en-GB"/>
        </w:rPr>
        <w:t>5. Conditions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667581" w14:paraId="5A551C86" w14:textId="2A75F38D">
            <w:pPr>
              <w:pStyle w:val="Default"/>
              <w:numPr>
                <w:ilvl w:val="0"/>
                <w:numId w:val="13"/>
              </w:numPr>
              <w:tabs>
                <w:tab w:val="clear" w:pos="0"/>
                <w:tab w:val="num" w:pos="347"/>
              </w:tabs>
              <w:ind w:left="347" w:hanging="347"/>
              <w:rPr>
                <w:color w:val="auto"/>
                <w:lang w:val="en-GB" w:eastAsia="ro-RO"/>
              </w:rPr>
            </w:pP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lastRenderedPageBreak/>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48BF0E41"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48BF0E41"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2510AA03" w14:paraId="264D1292" w14:textId="2420BA5C">
            <w:pPr>
              <w:pStyle w:val="Default"/>
              <w:contextualSpacing/>
              <w:jc w:val="both"/>
              <w:rPr>
                <w:color w:val="auto"/>
                <w:lang w:val="en-GB" w:eastAsia="ro-RO"/>
              </w:rPr>
            </w:pPr>
            <w:r>
              <w:t xml:space="preserve">CT4 Acknowledging the need for continuous development focusing on using </w:t>
            </w:r>
            <w:r w:rsidR="4694D9AD">
              <w:t>ICT</w:t>
            </w:r>
            <w:r>
              <w:t xml:space="preserve"> tools to assist </w:t>
            </w:r>
            <w:r>
              <w:lastRenderedPageBreak/>
              <w:t>with personal and professional development management, by joining social media and professional networks, that support the development of the communication skills</w:t>
            </w:r>
            <w:r w:rsidR="2458539C">
              <w:t>,</w:t>
            </w:r>
            <w:r>
              <w:t xml:space="preserve"> specific for the foreign language.</w:t>
            </w:r>
          </w:p>
        </w:tc>
      </w:tr>
    </w:tbl>
    <w:p w:rsidR="00667581" w:rsidP="00667581" w:rsidRDefault="00667581" w14:paraId="02AB9AA4" w14:textId="1763692E">
      <w:pPr>
        <w:pStyle w:val="Default"/>
        <w:rPr>
          <w:color w:val="auto"/>
          <w:lang w:val="en-GB"/>
        </w:rPr>
      </w:pPr>
    </w:p>
    <w:p w:rsidRPr="00667581" w:rsidR="00667581" w:rsidP="59512E3F" w:rsidRDefault="00667581" w14:paraId="31188E2C" w14:textId="2B350CB7">
      <w:pPr>
        <w:pStyle w:val="Heading1"/>
        <w:spacing w:before="0" w:line="240" w:lineRule="auto"/>
        <w:rPr>
          <w:rFonts w:ascii="Times New Roman" w:hAnsi="Times New Roman"/>
          <w:color w:val="auto"/>
          <w:sz w:val="20"/>
          <w:szCs w:val="20"/>
          <w:lang w:val="en-GB"/>
        </w:rPr>
      </w:pPr>
      <w:r w:rsidRPr="59512E3F" w:rsidR="00667581">
        <w:rPr>
          <w:rFonts w:ascii="Times New Roman" w:hAnsi="Times New Roman"/>
          <w:color w:val="auto"/>
          <w:sz w:val="20"/>
          <w:szCs w:val="20"/>
          <w:lang w:val="en-GB"/>
        </w:rPr>
        <w:t>7. Cou</w:t>
      </w:r>
      <w:r w:rsidRPr="59512E3F" w:rsidR="00621A11">
        <w:rPr>
          <w:rFonts w:ascii="Times New Roman" w:hAnsi="Times New Roman"/>
          <w:color w:val="auto"/>
          <w:sz w:val="20"/>
          <w:szCs w:val="20"/>
          <w:lang w:val="en-GB"/>
        </w:rPr>
        <w:t>r</w:t>
      </w:r>
      <w:r w:rsidRPr="59512E3F" w:rsidR="00667581">
        <w:rPr>
          <w:rFonts w:ascii="Times New Roman" w:hAnsi="Times New Roman"/>
          <w:color w:val="auto"/>
          <w:sz w:val="20"/>
          <w:szCs w:val="20"/>
          <w:lang w:val="en-GB"/>
        </w:rPr>
        <w:t xml:space="preserve">se </w:t>
      </w:r>
      <w:r w:rsidRPr="59512E3F" w:rsidR="00692AC1">
        <w:rPr>
          <w:rFonts w:ascii="Times New Roman" w:hAnsi="Times New Roman"/>
          <w:color w:val="auto"/>
          <w:sz w:val="20"/>
          <w:szCs w:val="20"/>
          <w:lang w:val="en-GB"/>
        </w:rPr>
        <w:t>objectives</w:t>
      </w:r>
      <w:r w:rsidRPr="59512E3F" w:rsidR="00667581">
        <w:rPr>
          <w:rFonts w:ascii="Times New Roman" w:hAnsi="Times New Roman"/>
          <w:color w:val="auto"/>
          <w:sz w:val="20"/>
          <w:szCs w:val="20"/>
          <w:lang w:val="en-GB"/>
        </w:rPr>
        <w:t xml:space="preserve"> (</w:t>
      </w:r>
      <w:r w:rsidRPr="59512E3F" w:rsidR="0070653E">
        <w:rPr>
          <w:rFonts w:ascii="Times New Roman" w:hAnsi="Times New Roman"/>
          <w:color w:val="auto"/>
          <w:sz w:val="20"/>
          <w:szCs w:val="20"/>
          <w:lang w:val="en-GB"/>
        </w:rPr>
        <w:t>derived</w:t>
      </w:r>
      <w:r w:rsidRPr="59512E3F" w:rsidR="00667581">
        <w:rPr>
          <w:rFonts w:ascii="Times New Roman" w:hAnsi="Times New Roman"/>
          <w:color w:val="auto"/>
          <w:sz w:val="20"/>
          <w:szCs w:val="20"/>
          <w:lang w:val="en-GB"/>
        </w:rPr>
        <w:t xml:space="preserve"> from the specific competences</w:t>
      </w:r>
      <w:r w:rsidRPr="59512E3F" w:rsidR="0070653E">
        <w:rPr>
          <w:rFonts w:ascii="Times New Roman" w:hAnsi="Times New Roman"/>
          <w:color w:val="auto"/>
          <w:sz w:val="20"/>
          <w:szCs w:val="20"/>
          <w:lang w:val="en-GB"/>
        </w:rPr>
        <w:t xml:space="preserve"> </w:t>
      </w:r>
      <w:r w:rsidRPr="59512E3F" w:rsidR="0070653E">
        <w:rPr>
          <w:rFonts w:ascii="Times New Roman" w:hAnsi="Times New Roman"/>
          <w:color w:val="auto"/>
          <w:sz w:val="20"/>
          <w:szCs w:val="20"/>
          <w:lang w:val="en-GB"/>
        </w:rPr>
        <w:t>acquired</w:t>
      </w:r>
      <w:r w:rsidRPr="59512E3F" w:rsidR="0066758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48BF0E41"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706EC0C9">
            <w:pPr>
              <w:pStyle w:val="Default"/>
              <w:numPr>
                <w:ilvl w:val="0"/>
                <w:numId w:val="12"/>
              </w:numPr>
              <w:rPr>
                <w:color w:val="auto"/>
                <w:lang w:val="en-GB" w:eastAsia="ro-RO"/>
              </w:rPr>
            </w:pPr>
            <w:r>
              <w:rPr>
                <w:color w:val="auto"/>
                <w:lang w:val="en-GB" w:eastAsia="ro-RO"/>
              </w:rPr>
              <w:t xml:space="preserve">The students will be able to use the </w:t>
            </w:r>
            <w:r w:rsidR="00A764C9">
              <w:rPr>
                <w:color w:val="auto"/>
                <w:lang w:val="en-GB" w:eastAsia="ro-RO"/>
              </w:rPr>
              <w:t xml:space="preserve">Russian </w:t>
            </w:r>
            <w:r>
              <w:rPr>
                <w:color w:val="auto"/>
                <w:lang w:val="en-GB" w:eastAsia="ro-RO"/>
              </w:rPr>
              <w:t xml:space="preserve">language competently, at a B2 level, in their academic activity and in their future professional activity. </w:t>
            </w:r>
          </w:p>
        </w:tc>
      </w:tr>
      <w:tr w:rsidRPr="00667581" w:rsidR="00667581" w:rsidTr="48BF0E41" w14:paraId="5AE99599" w14:textId="77777777">
        <w:trPr>
          <w:trHeight w:val="630"/>
        </w:trPr>
        <w:tc>
          <w:tcPr>
            <w:tcW w:w="1591" w:type="pct"/>
            <w:shd w:val="clear" w:color="auto" w:fill="auto"/>
          </w:tcPr>
          <w:p w:rsidRPr="00667581" w:rsidR="00667581" w:rsidP="00667581" w:rsidRDefault="00667581" w14:paraId="12AA0BD1"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4F510260" w14:textId="783E05E9">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  </w:t>
            </w:r>
            <w:r w:rsidR="005B5A21">
              <w:rPr>
                <w:rFonts w:ascii="Times New Roman" w:hAnsi="Times New Roman"/>
                <w:sz w:val="20"/>
                <w:szCs w:val="20"/>
                <w:lang w:eastAsia="ro-RO"/>
              </w:rPr>
              <w:t>Russian</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48428357" w14:textId="552A1C12">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005B5A21">
              <w:rPr>
                <w:rFonts w:ascii="Times New Roman" w:hAnsi="Times New Roman"/>
                <w:sz w:val="20"/>
                <w:szCs w:val="20"/>
                <w:lang w:eastAsia="ro-RO"/>
              </w:rPr>
              <w:t>Russian</w:t>
            </w:r>
            <w:r>
              <w:rPr>
                <w:rFonts w:ascii="Times New Roman" w:hAnsi="Times New Roman"/>
                <w:sz w:val="20"/>
                <w:szCs w:val="20"/>
                <w:lang w:eastAsia="ro-RO"/>
              </w:rPr>
              <w:t xml:space="preserve"> in the context of BA studies and the extended professional community (both national and international).</w:t>
            </w:r>
          </w:p>
          <w:p w:rsidR="00C60BDD" w:rsidP="00493BF2" w:rsidRDefault="00C60BDD" w14:paraId="41DBC290" w14:textId="158D8E4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organizing and developing ideas, text structure and the oral and written communication strategies </w:t>
            </w:r>
            <w:r w:rsidR="009619DD">
              <w:rPr>
                <w:rFonts w:ascii="Times New Roman" w:hAnsi="Times New Roman"/>
                <w:sz w:val="20"/>
                <w:szCs w:val="20"/>
                <w:lang w:eastAsia="ro-RO"/>
              </w:rPr>
              <w:t xml:space="preserve">specific to </w:t>
            </w:r>
            <w:r w:rsidR="005B5A21">
              <w:rPr>
                <w:rFonts w:ascii="Times New Roman" w:hAnsi="Times New Roman"/>
                <w:sz w:val="20"/>
                <w:szCs w:val="20"/>
                <w:lang w:eastAsia="ro-RO"/>
              </w:rPr>
              <w:t xml:space="preserve">Russian </w:t>
            </w:r>
            <w:r w:rsidR="009619DD">
              <w:rPr>
                <w:rFonts w:ascii="Times New Roman" w:hAnsi="Times New Roman"/>
                <w:sz w:val="20"/>
                <w:szCs w:val="20"/>
                <w:lang w:eastAsia="ro-RO"/>
              </w:rPr>
              <w:t>specialized for the scientific discourse.</w:t>
            </w:r>
          </w:p>
          <w:p w:rsidR="009619DD" w:rsidP="009619DD" w:rsidRDefault="009619DD" w14:paraId="25975AA8" w14:textId="56C4FBD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 xml:space="preserve">the academic/professional community in order to assess the quality of academic productions both oral and written in </w:t>
            </w:r>
            <w:r w:rsidR="005B5A21">
              <w:rPr>
                <w:rFonts w:ascii="Times New Roman" w:hAnsi="Times New Roman"/>
                <w:sz w:val="20"/>
                <w:szCs w:val="20"/>
                <w:lang w:eastAsia="ro-RO"/>
              </w:rPr>
              <w:t>Russian</w:t>
            </w:r>
          </w:p>
          <w:p w:rsidRPr="009619D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009619DD" w:rsidRDefault="51D94B9C" w14:paraId="1D903664" w14:textId="003C1D48">
            <w:pPr>
              <w:pStyle w:val="ListParagraph"/>
              <w:numPr>
                <w:ilvl w:val="0"/>
                <w:numId w:val="14"/>
              </w:numPr>
              <w:spacing w:after="0" w:line="240" w:lineRule="auto"/>
              <w:jc w:val="both"/>
              <w:rPr>
                <w:rFonts w:ascii="Times New Roman" w:hAnsi="Times New Roman"/>
                <w:sz w:val="20"/>
                <w:szCs w:val="20"/>
                <w:lang w:eastAsia="ro-RO"/>
              </w:rPr>
            </w:pPr>
            <w:r w:rsidRPr="48BF0E41">
              <w:rPr>
                <w:rFonts w:ascii="Times New Roman" w:hAnsi="Times New Roman"/>
                <w:color w:val="000000" w:themeColor="text1"/>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Pr="48BF0E41" w:rsidR="5AA963E0">
              <w:rPr>
                <w:rFonts w:ascii="Times New Roman" w:hAnsi="Times New Roman"/>
                <w:color w:val="000000" w:themeColor="text1"/>
                <w:sz w:val="20"/>
                <w:szCs w:val="20"/>
              </w:rPr>
              <w:t>ICT</w:t>
            </w:r>
            <w:r w:rsidRPr="48BF0E41">
              <w:rPr>
                <w:rFonts w:ascii="Times New Roman" w:hAnsi="Times New Roman"/>
                <w:color w:val="000000" w:themeColor="text1"/>
                <w:sz w:val="20"/>
                <w:szCs w:val="20"/>
              </w:rPr>
              <w:t xml:space="preserve">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Pr="00667581" w:rsidR="00667581" w:rsidP="59512E3F" w:rsidRDefault="00667581" w14:paraId="1C594104" w14:textId="3EB0F543">
      <w:pPr>
        <w:pStyle w:val="Heading1"/>
        <w:spacing w:before="0" w:after="0" w:line="240" w:lineRule="auto"/>
        <w:rPr>
          <w:rFonts w:ascii="Times New Roman" w:hAnsi="Times New Roman" w:eastAsia="Lucida Sans Unicode"/>
          <w:color w:val="auto"/>
          <w:sz w:val="20"/>
          <w:szCs w:val="20"/>
          <w:lang w:val="en-GB"/>
        </w:rPr>
      </w:pPr>
      <w:r w:rsidRPr="59512E3F" w:rsidR="00667581">
        <w:rPr>
          <w:rFonts w:ascii="Times New Roman" w:hAnsi="Times New Roman" w:eastAsia="Lucida Sans Unicode"/>
          <w:color w:val="auto"/>
          <w:sz w:val="20"/>
          <w:szCs w:val="20"/>
          <w:lang w:val="en-GB"/>
        </w:rPr>
        <w:t>8. Contents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586"/>
        <w:gridCol w:w="2730"/>
        <w:gridCol w:w="1596"/>
      </w:tblGrid>
      <w:tr w:rsidRPr="00667581" w:rsidR="00667581" w:rsidTr="48BF0E41" w14:paraId="7C15FBB7" w14:textId="77777777">
        <w:trPr>
          <w:cantSplit/>
        </w:trPr>
        <w:tc>
          <w:tcPr>
            <w:tcW w:w="2818" w:type="pct"/>
            <w:shd w:val="clear" w:color="auto" w:fill="auto"/>
          </w:tcPr>
          <w:p w:rsidRPr="00667581" w:rsidR="00667581" w:rsidP="00667581" w:rsidRDefault="00667581" w14:paraId="272006EE" w14:textId="77777777">
            <w:pPr>
              <w:pStyle w:val="Default"/>
              <w:rPr>
                <w:b/>
                <w:color w:val="auto"/>
                <w:lang w:val="en-GB" w:eastAsia="ro-RO"/>
              </w:rPr>
            </w:pPr>
            <w:r w:rsidRPr="00667581">
              <w:rPr>
                <w:b/>
                <w:color w:val="auto"/>
                <w:lang w:val="en-GB" w:eastAsia="ro-RO"/>
              </w:rPr>
              <w:t>8.1 Lectures</w:t>
            </w:r>
          </w:p>
        </w:tc>
        <w:tc>
          <w:tcPr>
            <w:tcW w:w="1377" w:type="pct"/>
            <w:shd w:val="clear" w:color="auto" w:fill="auto"/>
          </w:tcPr>
          <w:p w:rsidRPr="00667581" w:rsidR="00667581" w:rsidP="00667581" w:rsidRDefault="00667581" w14:paraId="12B68F16" w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667581" w14:paraId="009C026F" w14:textId="77777777">
            <w:pPr>
              <w:pStyle w:val="Default"/>
              <w:rPr>
                <w:color w:val="auto"/>
                <w:lang w:val="en-GB" w:eastAsia="ro-RO"/>
              </w:rPr>
            </w:pPr>
            <w:r w:rsidRPr="00667581">
              <w:rPr>
                <w:color w:val="auto"/>
                <w:lang w:val="en-GB" w:eastAsia="ro-RO"/>
              </w:rPr>
              <w:t>Remarks</w:t>
            </w:r>
          </w:p>
        </w:tc>
      </w:tr>
      <w:tr w:rsidR="48BF0E41" w:rsidTr="48BF0E41" w14:paraId="28847325" w14:textId="77777777">
        <w:trPr>
          <w:cantSplit/>
        </w:trPr>
        <w:tc>
          <w:tcPr>
            <w:tcW w:w="5586" w:type="dxa"/>
            <w:shd w:val="clear" w:color="auto" w:fill="auto"/>
          </w:tcPr>
          <w:p w:rsidR="49014C4D" w:rsidP="48BF0E41" w:rsidRDefault="49014C4D" w14:paraId="6C43C0BB" w14:textId="63CFF162">
            <w:pPr>
              <w:pStyle w:val="Default"/>
              <w:rPr>
                <w:b/>
                <w:bCs/>
                <w:color w:val="000000" w:themeColor="text1"/>
                <w:lang w:val="en-GB" w:eastAsia="ro-RO"/>
              </w:rPr>
            </w:pPr>
            <w:r w:rsidRPr="48BF0E41">
              <w:rPr>
                <w:b/>
                <w:bCs/>
                <w:color w:val="000000" w:themeColor="text1"/>
                <w:lang w:val="en-GB" w:eastAsia="ro-RO"/>
              </w:rPr>
              <w:t>8.2. Seminars</w:t>
            </w:r>
          </w:p>
        </w:tc>
        <w:tc>
          <w:tcPr>
            <w:tcW w:w="2730" w:type="dxa"/>
            <w:shd w:val="clear" w:color="auto" w:fill="auto"/>
          </w:tcPr>
          <w:p w:rsidR="49014C4D" w:rsidP="48BF0E41" w:rsidRDefault="49014C4D" w14:paraId="69367F05" w14:textId="77777777">
            <w:pPr>
              <w:pStyle w:val="Default"/>
              <w:rPr>
                <w:color w:val="auto"/>
                <w:lang w:val="en-GB" w:eastAsia="ro-RO"/>
              </w:rPr>
            </w:pPr>
            <w:r w:rsidRPr="48BF0E41">
              <w:rPr>
                <w:color w:val="auto"/>
                <w:lang w:val="en-GB" w:eastAsia="ro-RO"/>
              </w:rPr>
              <w:t>Teaching methods</w:t>
            </w:r>
          </w:p>
          <w:p w:rsidR="48BF0E41" w:rsidP="48BF0E41" w:rsidRDefault="48BF0E41" w14:paraId="79C12B07" w14:textId="3C6EA883">
            <w:pPr>
              <w:pStyle w:val="Default"/>
              <w:rPr>
                <w:color w:val="000000" w:themeColor="text1"/>
                <w:lang w:val="en-GB" w:eastAsia="ro-RO"/>
              </w:rPr>
            </w:pPr>
          </w:p>
        </w:tc>
        <w:tc>
          <w:tcPr>
            <w:tcW w:w="1596" w:type="dxa"/>
            <w:shd w:val="clear" w:color="auto" w:fill="auto"/>
          </w:tcPr>
          <w:p w:rsidR="49014C4D" w:rsidP="48BF0E41" w:rsidRDefault="49014C4D" w14:paraId="7785C0CC" w14:textId="77777777">
            <w:pPr>
              <w:pStyle w:val="Default"/>
              <w:rPr>
                <w:color w:val="auto"/>
                <w:lang w:val="en-GB" w:eastAsia="ro-RO"/>
              </w:rPr>
            </w:pPr>
            <w:r w:rsidRPr="48BF0E41">
              <w:rPr>
                <w:color w:val="auto"/>
                <w:lang w:val="en-GB" w:eastAsia="ro-RO"/>
              </w:rPr>
              <w:t>Remarks</w:t>
            </w:r>
          </w:p>
          <w:p w:rsidR="48BF0E41" w:rsidP="48BF0E41" w:rsidRDefault="48BF0E41" w14:paraId="431C3809" w14:textId="29906C23">
            <w:pPr>
              <w:pStyle w:val="Default"/>
              <w:rPr>
                <w:color w:val="000000" w:themeColor="text1"/>
                <w:lang w:val="en-GB" w:eastAsia="ro-RO"/>
              </w:rPr>
            </w:pPr>
          </w:p>
        </w:tc>
      </w:tr>
      <w:tr w:rsidRPr="00667581" w:rsidR="003D029C" w:rsidTr="48BF0E41" w14:paraId="4CCFCC34" w14:textId="77777777">
        <w:trPr>
          <w:cantSplit/>
        </w:trPr>
        <w:tc>
          <w:tcPr>
            <w:tcW w:w="2818" w:type="pct"/>
            <w:shd w:val="clear" w:color="auto" w:fill="auto"/>
          </w:tcPr>
          <w:p w:rsidRPr="00667581" w:rsidR="003D029C" w:rsidP="003D029C" w:rsidRDefault="003D029C" w14:paraId="72669FCD" w14:textId="3FD6A9C2">
            <w:pPr>
              <w:pStyle w:val="Default"/>
              <w:rPr>
                <w:color w:val="auto"/>
                <w:lang w:val="en-GB" w:eastAsia="ro-RO"/>
              </w:rPr>
            </w:pPr>
            <w:r>
              <w:rPr>
                <w:lang w:val="ro-RO"/>
              </w:rPr>
              <w:t>1. Nouns. The</w:t>
            </w:r>
            <w:r w:rsidRPr="00B411E7">
              <w:rPr>
                <w:lang w:val="ro-RO"/>
              </w:rPr>
              <w:t xml:space="preserve"> prepositional case. Usual lexicon: </w:t>
            </w:r>
            <w:r w:rsidRPr="00B411E7">
              <w:rPr>
                <w:b/>
                <w:lang w:val="ro-RO"/>
              </w:rPr>
              <w:t>professions</w:t>
            </w:r>
          </w:p>
        </w:tc>
        <w:tc>
          <w:tcPr>
            <w:tcW w:w="1377" w:type="pct"/>
            <w:shd w:val="clear" w:color="auto" w:fill="auto"/>
          </w:tcPr>
          <w:p w:rsidRPr="00667581" w:rsidR="003D029C" w:rsidP="003D029C" w:rsidRDefault="00B85AD9" w14:paraId="660D7EAC" w14:textId="3851E4A6">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3D029C" w:rsidP="003D029C" w:rsidRDefault="003D029C" w14:paraId="2EC1686C" w14:textId="77777777">
            <w:pPr>
              <w:pStyle w:val="Default"/>
              <w:rPr>
                <w:color w:val="auto"/>
                <w:lang w:val="en-GB" w:eastAsia="ro-RO"/>
              </w:rPr>
            </w:pPr>
          </w:p>
        </w:tc>
      </w:tr>
      <w:tr w:rsidRPr="00667581" w:rsidR="003D029C" w:rsidTr="48BF0E41" w14:paraId="3825F54D" w14:textId="77777777">
        <w:trPr>
          <w:cantSplit/>
        </w:trPr>
        <w:tc>
          <w:tcPr>
            <w:tcW w:w="2818" w:type="pct"/>
            <w:shd w:val="clear" w:color="auto" w:fill="auto"/>
          </w:tcPr>
          <w:p w:rsidRPr="00667581" w:rsidR="003D029C" w:rsidP="003D029C" w:rsidRDefault="003D029C" w14:paraId="5AD9BFFB" w14:textId="293B53CA">
            <w:pPr>
              <w:pStyle w:val="Default"/>
              <w:rPr>
                <w:color w:val="auto"/>
                <w:lang w:val="en-GB" w:eastAsia="ro-RO"/>
              </w:rPr>
            </w:pPr>
            <w:r w:rsidRPr="00B411E7">
              <w:rPr>
                <w:lang w:val="ro-RO"/>
              </w:rPr>
              <w:t xml:space="preserve">2. The prepositional case of nouns. The question </w:t>
            </w:r>
            <w:r w:rsidRPr="00B411E7">
              <w:rPr>
                <w:b/>
                <w:lang w:val="ro-RO"/>
              </w:rPr>
              <w:t xml:space="preserve">О ком? О чём? Usual lexicon: trip to </w:t>
            </w:r>
            <w:r w:rsidRPr="00EC0CC4">
              <w:rPr>
                <w:b/>
                <w:lang w:val="ro-RO"/>
              </w:rPr>
              <w:t>Moscow.</w:t>
            </w:r>
          </w:p>
        </w:tc>
        <w:tc>
          <w:tcPr>
            <w:tcW w:w="1377" w:type="pct"/>
            <w:shd w:val="clear" w:color="auto" w:fill="auto"/>
          </w:tcPr>
          <w:p w:rsidRPr="00667581" w:rsidR="003D029C" w:rsidP="003D029C" w:rsidRDefault="00B85AD9" w14:paraId="6EA6D8E5" w14:textId="73B64A5D">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3D029C" w:rsidP="003D029C" w:rsidRDefault="003D029C" w14:paraId="11DBCBCB" w14:textId="77777777">
            <w:pPr>
              <w:pStyle w:val="Default"/>
              <w:rPr>
                <w:color w:val="auto"/>
                <w:lang w:val="en-GB" w:eastAsia="ro-RO"/>
              </w:rPr>
            </w:pPr>
          </w:p>
        </w:tc>
      </w:tr>
      <w:tr w:rsidRPr="00667581" w:rsidR="003D029C" w:rsidTr="48BF0E41" w14:paraId="68CAC7E2" w14:textId="77777777">
        <w:trPr>
          <w:cantSplit/>
        </w:trPr>
        <w:tc>
          <w:tcPr>
            <w:tcW w:w="2818" w:type="pct"/>
            <w:shd w:val="clear" w:color="auto" w:fill="auto"/>
          </w:tcPr>
          <w:p w:rsidRPr="00667581" w:rsidR="003D029C" w:rsidP="003D029C" w:rsidRDefault="003D029C" w14:paraId="23405A8C" w14:textId="640A3DD4">
            <w:pPr>
              <w:pStyle w:val="Default"/>
              <w:rPr>
                <w:color w:val="auto"/>
                <w:lang w:val="en-GB" w:eastAsia="ro-RO"/>
              </w:rPr>
            </w:pPr>
            <w:r w:rsidRPr="00B411E7">
              <w:rPr>
                <w:lang w:val="ro-RO"/>
              </w:rPr>
              <w:lastRenderedPageBreak/>
              <w:t>3. The prepositional case of the personal pronoun.</w:t>
            </w:r>
          </w:p>
        </w:tc>
        <w:tc>
          <w:tcPr>
            <w:tcW w:w="1377" w:type="pct"/>
            <w:shd w:val="clear" w:color="auto" w:fill="auto"/>
          </w:tcPr>
          <w:p w:rsidRPr="00667581" w:rsidR="003D029C" w:rsidP="003D029C" w:rsidRDefault="00B85AD9" w14:paraId="76DE82F3" w14:textId="135967A6">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3D029C" w:rsidP="003D029C" w:rsidRDefault="003D029C" w14:paraId="5152992A" w14:textId="77777777">
            <w:pPr>
              <w:pStyle w:val="Default"/>
              <w:rPr>
                <w:color w:val="auto"/>
                <w:lang w:val="en-GB" w:eastAsia="ro-RO"/>
              </w:rPr>
            </w:pPr>
          </w:p>
        </w:tc>
      </w:tr>
      <w:tr w:rsidRPr="00667581" w:rsidR="003D029C" w:rsidTr="48BF0E41" w14:paraId="29F11801" w14:textId="77777777">
        <w:trPr>
          <w:cantSplit/>
        </w:trPr>
        <w:tc>
          <w:tcPr>
            <w:tcW w:w="2818" w:type="pct"/>
            <w:shd w:val="clear" w:color="auto" w:fill="auto"/>
          </w:tcPr>
          <w:p w:rsidRPr="00667581" w:rsidR="003D029C" w:rsidP="003D029C" w:rsidRDefault="003D029C" w14:paraId="46630AF5" w14:textId="77F2D8DC">
            <w:pPr>
              <w:pStyle w:val="Default"/>
              <w:rPr>
                <w:color w:val="auto"/>
                <w:lang w:val="en-GB" w:eastAsia="ro-RO"/>
              </w:rPr>
            </w:pPr>
            <w:r w:rsidRPr="00B411E7">
              <w:rPr>
                <w:lang w:val="ro-RO"/>
              </w:rPr>
              <w:t>4. The prepositional case of the possessive pronoun. Usual vocabulary: in the classroom</w:t>
            </w:r>
          </w:p>
        </w:tc>
        <w:tc>
          <w:tcPr>
            <w:tcW w:w="1377" w:type="pct"/>
            <w:shd w:val="clear" w:color="auto" w:fill="auto"/>
          </w:tcPr>
          <w:p w:rsidRPr="00667581" w:rsidR="003D029C" w:rsidP="003D029C" w:rsidRDefault="00B85AD9" w14:paraId="60A83B62" w14:textId="28D33D91">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3D029C" w:rsidP="003D029C" w:rsidRDefault="003D029C" w14:paraId="30FB0B66" w14:textId="77777777">
            <w:pPr>
              <w:pStyle w:val="Default"/>
              <w:rPr>
                <w:color w:val="auto"/>
                <w:lang w:val="en-GB" w:eastAsia="ro-RO"/>
              </w:rPr>
            </w:pPr>
          </w:p>
        </w:tc>
      </w:tr>
      <w:tr w:rsidRPr="00667581" w:rsidR="003D029C" w:rsidTr="48BF0E41" w14:paraId="1F0510F3" w14:textId="77777777">
        <w:trPr>
          <w:cantSplit/>
        </w:trPr>
        <w:tc>
          <w:tcPr>
            <w:tcW w:w="2818" w:type="pct"/>
            <w:shd w:val="clear" w:color="auto" w:fill="auto"/>
          </w:tcPr>
          <w:p w:rsidRPr="00667581" w:rsidR="003D029C" w:rsidP="003D029C" w:rsidRDefault="003D029C" w14:paraId="2132B0F0" w14:textId="3A7670E0">
            <w:pPr>
              <w:pStyle w:val="Default"/>
              <w:rPr>
                <w:color w:val="auto"/>
                <w:lang w:val="en-GB" w:eastAsia="ro-RO"/>
              </w:rPr>
            </w:pPr>
            <w:r w:rsidRPr="00B411E7">
              <w:rPr>
                <w:lang w:val="ro-RO"/>
              </w:rPr>
              <w:t xml:space="preserve">5. The propositional case of the adjective. Usual lexicon: </w:t>
            </w:r>
            <w:r>
              <w:rPr>
                <w:b/>
                <w:lang w:val="ro-RO"/>
              </w:rPr>
              <w:t>shopping</w:t>
            </w:r>
            <w:r>
              <w:rPr>
                <w:lang w:val="ro-RO"/>
              </w:rPr>
              <w:t>.</w:t>
            </w:r>
          </w:p>
        </w:tc>
        <w:tc>
          <w:tcPr>
            <w:tcW w:w="1377" w:type="pct"/>
            <w:shd w:val="clear" w:color="auto" w:fill="auto"/>
          </w:tcPr>
          <w:p w:rsidRPr="00667581" w:rsidR="003D029C" w:rsidP="003D029C" w:rsidRDefault="00B85AD9" w14:paraId="30BAA11C" w14:textId="4332DCBC">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3D029C" w:rsidP="003D029C" w:rsidRDefault="003D029C" w14:paraId="02C37250" w14:textId="77777777">
            <w:pPr>
              <w:pStyle w:val="Default"/>
              <w:rPr>
                <w:color w:val="auto"/>
                <w:lang w:val="en-GB" w:eastAsia="ro-RO"/>
              </w:rPr>
            </w:pPr>
          </w:p>
        </w:tc>
      </w:tr>
      <w:tr w:rsidRPr="00667581" w:rsidR="003D029C" w:rsidTr="48BF0E41" w14:paraId="7571CC90" w14:textId="77777777">
        <w:trPr>
          <w:cantSplit/>
        </w:trPr>
        <w:tc>
          <w:tcPr>
            <w:tcW w:w="2818" w:type="pct"/>
            <w:shd w:val="clear" w:color="auto" w:fill="auto"/>
          </w:tcPr>
          <w:p w:rsidRPr="00667581" w:rsidR="003D029C" w:rsidP="003D029C" w:rsidRDefault="003D029C" w14:paraId="2068025D" w14:textId="6CD50C13">
            <w:pPr>
              <w:pStyle w:val="Default"/>
              <w:rPr>
                <w:color w:val="auto"/>
                <w:lang w:val="en-GB" w:eastAsia="ro-RO"/>
              </w:rPr>
            </w:pPr>
            <w:r w:rsidRPr="00B411E7">
              <w:rPr>
                <w:lang w:val="ro-RO"/>
              </w:rPr>
              <w:t>6. The temporal preposi</w:t>
            </w:r>
            <w:r>
              <w:rPr>
                <w:lang w:val="ro-RO"/>
              </w:rPr>
              <w:t xml:space="preserve">tional case. Usual lexicon: </w:t>
            </w:r>
            <w:r w:rsidRPr="00B411E7">
              <w:rPr>
                <w:b/>
                <w:lang w:val="ro-RO"/>
              </w:rPr>
              <w:t>seasons of a year</w:t>
            </w:r>
            <w:r w:rsidRPr="00B411E7">
              <w:rPr>
                <w:lang w:val="ro-RO"/>
              </w:rPr>
              <w:t>.</w:t>
            </w:r>
          </w:p>
        </w:tc>
        <w:tc>
          <w:tcPr>
            <w:tcW w:w="1377" w:type="pct"/>
            <w:shd w:val="clear" w:color="auto" w:fill="auto"/>
          </w:tcPr>
          <w:p w:rsidRPr="00667581" w:rsidR="003D029C" w:rsidP="003D029C" w:rsidRDefault="00B85AD9" w14:paraId="512F6A39" w14:textId="07C0D07C">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3D029C" w:rsidP="003D029C" w:rsidRDefault="003D029C" w14:paraId="230AEEA4" w14:textId="77777777">
            <w:pPr>
              <w:pStyle w:val="Default"/>
              <w:rPr>
                <w:color w:val="auto"/>
                <w:lang w:val="en-GB" w:eastAsia="ro-RO"/>
              </w:rPr>
            </w:pPr>
          </w:p>
        </w:tc>
      </w:tr>
      <w:tr w:rsidRPr="00667581" w:rsidR="003D029C" w:rsidTr="48BF0E41" w14:paraId="39FEC3CE" w14:textId="77777777">
        <w:trPr>
          <w:cantSplit/>
        </w:trPr>
        <w:tc>
          <w:tcPr>
            <w:tcW w:w="2818" w:type="pct"/>
            <w:shd w:val="clear" w:color="auto" w:fill="auto"/>
          </w:tcPr>
          <w:p w:rsidRPr="00667581" w:rsidR="003D029C" w:rsidP="003D029C" w:rsidRDefault="003D029C" w14:paraId="0316F250" w14:textId="443D38C7">
            <w:pPr>
              <w:pStyle w:val="Default"/>
              <w:rPr>
                <w:color w:val="auto"/>
                <w:lang w:val="en-GB" w:eastAsia="ro-RO"/>
              </w:rPr>
            </w:pPr>
            <w:r w:rsidRPr="00B411E7">
              <w:rPr>
                <w:lang w:val="ro-RO"/>
              </w:rPr>
              <w:t>7. The prepositional case, no. Plural of noun, adjective, pronoun.</w:t>
            </w:r>
          </w:p>
        </w:tc>
        <w:tc>
          <w:tcPr>
            <w:tcW w:w="1377" w:type="pct"/>
            <w:shd w:val="clear" w:color="auto" w:fill="auto"/>
          </w:tcPr>
          <w:p w:rsidRPr="00667581" w:rsidR="003D029C" w:rsidP="003D029C" w:rsidRDefault="00B85AD9" w14:paraId="225A96B8" w14:textId="26FE06F9">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3D029C" w:rsidP="003D029C" w:rsidRDefault="003D029C" w14:paraId="0854D868" w14:textId="77777777">
            <w:pPr>
              <w:pStyle w:val="Default"/>
              <w:rPr>
                <w:color w:val="auto"/>
                <w:lang w:val="en-GB" w:eastAsia="ro-RO"/>
              </w:rPr>
            </w:pPr>
          </w:p>
        </w:tc>
      </w:tr>
      <w:tr w:rsidRPr="00667581" w:rsidR="003D029C" w:rsidTr="48BF0E41" w14:paraId="5622C257" w14:textId="77777777">
        <w:trPr>
          <w:cantSplit/>
        </w:trPr>
        <w:tc>
          <w:tcPr>
            <w:tcW w:w="2818" w:type="pct"/>
            <w:shd w:val="clear" w:color="auto" w:fill="auto"/>
          </w:tcPr>
          <w:p w:rsidRPr="00667581" w:rsidR="003D029C" w:rsidP="003D029C" w:rsidRDefault="003D029C" w14:paraId="2031B889" w14:textId="7BB7F824">
            <w:pPr>
              <w:pStyle w:val="Default"/>
              <w:rPr>
                <w:color w:val="auto"/>
                <w:lang w:val="en-GB" w:eastAsia="ro-RO"/>
              </w:rPr>
            </w:pPr>
            <w:r w:rsidRPr="00B411E7">
              <w:rPr>
                <w:lang w:val="ro-RO"/>
              </w:rPr>
              <w:t xml:space="preserve">8. The accusative case. Expressing the object of the action. Usual lexicon: </w:t>
            </w:r>
            <w:r w:rsidRPr="00B411E7">
              <w:rPr>
                <w:b/>
                <w:lang w:val="ro-RO"/>
              </w:rPr>
              <w:t>Russian cuisine</w:t>
            </w:r>
            <w:r>
              <w:rPr>
                <w:lang w:val="ro-RO"/>
              </w:rPr>
              <w:t>.</w:t>
            </w:r>
          </w:p>
        </w:tc>
        <w:tc>
          <w:tcPr>
            <w:tcW w:w="1377" w:type="pct"/>
            <w:shd w:val="clear" w:color="auto" w:fill="auto"/>
          </w:tcPr>
          <w:p w:rsidRPr="00667581" w:rsidR="003D029C" w:rsidP="003D029C" w:rsidRDefault="00B85AD9" w14:paraId="2E813424" w14:textId="5863BB90">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3D029C" w:rsidP="003D029C" w:rsidRDefault="003D029C" w14:paraId="2DBA10C9" w14:textId="77777777">
            <w:pPr>
              <w:pStyle w:val="Default"/>
              <w:rPr>
                <w:color w:val="auto"/>
                <w:lang w:val="en-GB" w:eastAsia="ro-RO"/>
              </w:rPr>
            </w:pPr>
          </w:p>
        </w:tc>
      </w:tr>
      <w:tr w:rsidRPr="00667581" w:rsidR="003D029C" w:rsidTr="48BF0E41" w14:paraId="4E72C74B" w14:textId="77777777">
        <w:trPr>
          <w:cantSplit/>
        </w:trPr>
        <w:tc>
          <w:tcPr>
            <w:tcW w:w="2818" w:type="pct"/>
            <w:shd w:val="clear" w:color="auto" w:fill="auto"/>
          </w:tcPr>
          <w:p w:rsidRPr="00667581" w:rsidR="003D029C" w:rsidP="003D029C" w:rsidRDefault="003D029C" w14:paraId="5A619D34" w14:textId="5BB772B7">
            <w:pPr>
              <w:pStyle w:val="Default"/>
              <w:rPr>
                <w:color w:val="auto"/>
                <w:lang w:val="en-GB" w:eastAsia="ro-RO"/>
              </w:rPr>
            </w:pPr>
            <w:r w:rsidRPr="00B411E7">
              <w:rPr>
                <w:lang w:val="ro-RO"/>
              </w:rPr>
              <w:t>9. The accusative case of the personal adjective and pronoun.</w:t>
            </w:r>
          </w:p>
        </w:tc>
        <w:tc>
          <w:tcPr>
            <w:tcW w:w="1377" w:type="pct"/>
            <w:shd w:val="clear" w:color="auto" w:fill="auto"/>
          </w:tcPr>
          <w:p w:rsidRPr="00667581" w:rsidR="003D029C" w:rsidP="003D029C" w:rsidRDefault="00B85AD9" w14:paraId="6DD8BBD0" w14:textId="4F78987E">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3D029C" w:rsidP="003D029C" w:rsidRDefault="003D029C" w14:paraId="2EAA184B" w14:textId="77777777">
            <w:pPr>
              <w:pStyle w:val="Default"/>
              <w:rPr>
                <w:color w:val="auto"/>
                <w:lang w:val="en-GB" w:eastAsia="ro-RO"/>
              </w:rPr>
            </w:pPr>
          </w:p>
        </w:tc>
      </w:tr>
      <w:tr w:rsidRPr="00667581" w:rsidR="003D029C" w:rsidTr="48BF0E41" w14:paraId="382B1E19" w14:textId="77777777">
        <w:trPr>
          <w:cantSplit/>
        </w:trPr>
        <w:tc>
          <w:tcPr>
            <w:tcW w:w="2818" w:type="pct"/>
            <w:shd w:val="clear" w:color="auto" w:fill="auto"/>
          </w:tcPr>
          <w:p w:rsidRPr="00667581" w:rsidR="003D029C" w:rsidP="003D029C" w:rsidRDefault="003D029C" w14:paraId="29C9BB49" w14:textId="27B8B737">
            <w:pPr>
              <w:pStyle w:val="Default"/>
              <w:rPr>
                <w:color w:val="auto"/>
                <w:lang w:val="en-GB" w:eastAsia="ro-RO"/>
              </w:rPr>
            </w:pPr>
            <w:r w:rsidRPr="00B411E7">
              <w:rPr>
                <w:lang w:val="ro-RO"/>
              </w:rPr>
              <w:t xml:space="preserve">10. The accusative case, no. plural. Usual lexicon: </w:t>
            </w:r>
            <w:r w:rsidRPr="00B411E7">
              <w:rPr>
                <w:b/>
                <w:lang w:val="ro-RO"/>
              </w:rPr>
              <w:t>rest</w:t>
            </w:r>
            <w:r>
              <w:rPr>
                <w:lang w:val="ro-RO"/>
              </w:rPr>
              <w:t>.</w:t>
            </w:r>
          </w:p>
        </w:tc>
        <w:tc>
          <w:tcPr>
            <w:tcW w:w="1377" w:type="pct"/>
            <w:shd w:val="clear" w:color="auto" w:fill="auto"/>
          </w:tcPr>
          <w:p w:rsidRPr="00667581" w:rsidR="003D029C" w:rsidP="003D029C" w:rsidRDefault="00B85AD9" w14:paraId="3B22A62D" w14:textId="691BD806">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3D029C" w:rsidP="003D029C" w:rsidRDefault="003D029C" w14:paraId="3B4DF134" w14:textId="77777777">
            <w:pPr>
              <w:pStyle w:val="Default"/>
              <w:rPr>
                <w:color w:val="auto"/>
                <w:lang w:val="en-GB" w:eastAsia="ro-RO"/>
              </w:rPr>
            </w:pPr>
          </w:p>
        </w:tc>
      </w:tr>
      <w:tr w:rsidRPr="00667581" w:rsidR="003D029C" w:rsidTr="48BF0E41" w14:paraId="4848FCE4" w14:textId="77777777">
        <w:trPr>
          <w:cantSplit/>
        </w:trPr>
        <w:tc>
          <w:tcPr>
            <w:tcW w:w="2818" w:type="pct"/>
            <w:shd w:val="clear" w:color="auto" w:fill="auto"/>
          </w:tcPr>
          <w:p w:rsidRPr="00667581" w:rsidR="003D029C" w:rsidP="003D029C" w:rsidRDefault="003D029C" w14:paraId="30DDBAB1" w14:textId="74597F8F">
            <w:pPr>
              <w:pStyle w:val="Default"/>
              <w:rPr>
                <w:color w:val="auto"/>
                <w:lang w:val="en-GB" w:eastAsia="ro-RO"/>
              </w:rPr>
            </w:pPr>
            <w:r w:rsidRPr="00B411E7">
              <w:rPr>
                <w:lang w:val="ro-RO"/>
              </w:rPr>
              <w:t xml:space="preserve">11. The accusative case. Direction of action. Usual lexicon: </w:t>
            </w:r>
            <w:r w:rsidRPr="00B411E7">
              <w:rPr>
                <w:b/>
                <w:lang w:val="ro-RO"/>
              </w:rPr>
              <w:t>at the theater</w:t>
            </w:r>
            <w:r>
              <w:rPr>
                <w:lang w:val="ro-RO"/>
              </w:rPr>
              <w:t>.</w:t>
            </w:r>
          </w:p>
        </w:tc>
        <w:tc>
          <w:tcPr>
            <w:tcW w:w="1377" w:type="pct"/>
            <w:shd w:val="clear" w:color="auto" w:fill="auto"/>
          </w:tcPr>
          <w:p w:rsidRPr="00667581" w:rsidR="003D029C" w:rsidP="003D029C" w:rsidRDefault="00B85AD9" w14:paraId="454FD9A3" w14:textId="6900E036">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3D029C" w:rsidP="003D029C" w:rsidRDefault="003D029C" w14:paraId="235D2B0B" w14:textId="77777777">
            <w:pPr>
              <w:pStyle w:val="Default"/>
              <w:rPr>
                <w:color w:val="auto"/>
                <w:lang w:val="en-GB" w:eastAsia="ro-RO"/>
              </w:rPr>
            </w:pPr>
          </w:p>
        </w:tc>
      </w:tr>
      <w:tr w:rsidRPr="00667581" w:rsidR="003D029C" w:rsidTr="48BF0E41" w14:paraId="13439494" w14:textId="77777777">
        <w:trPr>
          <w:cantSplit/>
        </w:trPr>
        <w:tc>
          <w:tcPr>
            <w:tcW w:w="2818" w:type="pct"/>
            <w:shd w:val="clear" w:color="auto" w:fill="auto"/>
          </w:tcPr>
          <w:p w:rsidRPr="00667581" w:rsidR="003D029C" w:rsidP="003D029C" w:rsidRDefault="003D029C" w14:paraId="2A917B41" w14:textId="287F9533">
            <w:pPr>
              <w:pStyle w:val="Default"/>
              <w:rPr>
                <w:color w:val="auto"/>
                <w:lang w:val="en-GB" w:eastAsia="ro-RO"/>
              </w:rPr>
            </w:pPr>
            <w:r w:rsidRPr="00B411E7">
              <w:rPr>
                <w:lang w:val="ro-RO"/>
              </w:rPr>
              <w:t>12. Using the accusative case with the verbs класть, положить, ставить / поставить / a sit, set. Usual lexicon</w:t>
            </w:r>
            <w:r w:rsidRPr="00B411E7">
              <w:rPr>
                <w:b/>
                <w:lang w:val="ro-RO"/>
              </w:rPr>
              <w:t>: the interior of the house</w:t>
            </w:r>
            <w:r>
              <w:rPr>
                <w:lang w:val="ro-RO"/>
              </w:rPr>
              <w:t>/</w:t>
            </w:r>
          </w:p>
        </w:tc>
        <w:tc>
          <w:tcPr>
            <w:tcW w:w="1377" w:type="pct"/>
            <w:shd w:val="clear" w:color="auto" w:fill="auto"/>
          </w:tcPr>
          <w:p w:rsidRPr="00667581" w:rsidR="003D029C" w:rsidP="003D029C" w:rsidRDefault="00B85AD9" w14:paraId="2A3244A8" w14:textId="7614ED2A">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3D029C" w:rsidP="003D029C" w:rsidRDefault="003D029C" w14:paraId="6580A4EA" w14:textId="77777777">
            <w:pPr>
              <w:pStyle w:val="Default"/>
              <w:rPr>
                <w:color w:val="auto"/>
                <w:lang w:val="en-GB" w:eastAsia="ro-RO"/>
              </w:rPr>
            </w:pPr>
          </w:p>
        </w:tc>
      </w:tr>
      <w:tr w:rsidRPr="00667581" w:rsidR="003D029C" w:rsidTr="48BF0E41" w14:paraId="77E06FE7" w14:textId="77777777">
        <w:trPr>
          <w:cantSplit/>
        </w:trPr>
        <w:tc>
          <w:tcPr>
            <w:tcW w:w="2818" w:type="pct"/>
            <w:shd w:val="clear" w:color="auto" w:fill="auto"/>
          </w:tcPr>
          <w:p w:rsidRPr="00667581" w:rsidR="003D029C" w:rsidP="003D029C" w:rsidRDefault="003D029C" w14:paraId="244C25DE" w14:textId="418B8FEE">
            <w:pPr>
              <w:pStyle w:val="Default"/>
              <w:rPr>
                <w:color w:val="auto"/>
                <w:lang w:val="en-GB" w:eastAsia="ro-RO"/>
              </w:rPr>
            </w:pPr>
            <w:r w:rsidRPr="00B411E7">
              <w:rPr>
                <w:lang w:val="ro-RO"/>
              </w:rPr>
              <w:t xml:space="preserve">13. Expression of time with the accusative case. Usual lexicon: </w:t>
            </w:r>
            <w:r w:rsidRPr="00B411E7">
              <w:rPr>
                <w:b/>
                <w:lang w:val="ro-RO"/>
              </w:rPr>
              <w:t>visiting friends</w:t>
            </w:r>
            <w:r>
              <w:rPr>
                <w:lang w:val="ro-RO"/>
              </w:rPr>
              <w:t>.</w:t>
            </w:r>
          </w:p>
        </w:tc>
        <w:tc>
          <w:tcPr>
            <w:tcW w:w="1377" w:type="pct"/>
            <w:shd w:val="clear" w:color="auto" w:fill="auto"/>
          </w:tcPr>
          <w:p w:rsidRPr="00667581" w:rsidR="003D029C" w:rsidP="003D029C" w:rsidRDefault="00B85AD9" w14:paraId="18558AC5" w14:textId="1A30F272">
            <w:pPr>
              <w:pStyle w:val="Default"/>
              <w:rPr>
                <w:color w:val="auto"/>
                <w:lang w:val="en-GB" w:eastAsia="ro-RO"/>
              </w:rPr>
            </w:pPr>
            <w:r>
              <w:rPr>
                <w:szCs w:val="24"/>
                <w:lang w:val="ro-RO"/>
              </w:rPr>
              <w:t>Presentation of the material, summarization of the main ideas, conversations</w:t>
            </w:r>
            <w:r w:rsidRPr="008B26C2">
              <w:rPr>
                <w:szCs w:val="24"/>
                <w:lang w:val="ro-RO"/>
              </w:rPr>
              <w:t xml:space="preserve"> </w:t>
            </w:r>
            <w:r w:rsidRPr="008B26C2">
              <w:rPr>
                <w:lang w:val="ro-RO"/>
              </w:rPr>
              <w:t xml:space="preserve"> </w:t>
            </w:r>
          </w:p>
        </w:tc>
        <w:tc>
          <w:tcPr>
            <w:tcW w:w="805" w:type="pct"/>
            <w:shd w:val="clear" w:color="auto" w:fill="auto"/>
          </w:tcPr>
          <w:p w:rsidRPr="00667581" w:rsidR="003D029C" w:rsidP="003D029C" w:rsidRDefault="003D029C" w14:paraId="24B9683B" w14:textId="77777777">
            <w:pPr>
              <w:pStyle w:val="Default"/>
              <w:rPr>
                <w:color w:val="auto"/>
                <w:lang w:val="en-GB" w:eastAsia="ro-RO"/>
              </w:rPr>
            </w:pPr>
          </w:p>
        </w:tc>
      </w:tr>
      <w:tr w:rsidRPr="00667581" w:rsidR="003D029C" w:rsidTr="48BF0E41" w14:paraId="7626652F" w14:textId="77777777">
        <w:trPr>
          <w:cantSplit/>
        </w:trPr>
        <w:tc>
          <w:tcPr>
            <w:tcW w:w="2818" w:type="pct"/>
            <w:shd w:val="clear" w:color="auto" w:fill="auto"/>
          </w:tcPr>
          <w:p w:rsidRPr="00667581" w:rsidR="003D029C" w:rsidP="003D029C" w:rsidRDefault="003D029C" w14:paraId="5CE29B7B" w14:textId="221D8577">
            <w:pPr>
              <w:pStyle w:val="Default"/>
              <w:rPr>
                <w:color w:val="auto"/>
                <w:lang w:val="en-GB" w:eastAsia="ro-RO"/>
              </w:rPr>
            </w:pPr>
            <w:r w:rsidRPr="00B411E7">
              <w:rPr>
                <w:lang w:val="ro-RO"/>
              </w:rPr>
              <w:t>14. Recapitulation / Evaluation.</w:t>
            </w:r>
          </w:p>
        </w:tc>
        <w:tc>
          <w:tcPr>
            <w:tcW w:w="1377" w:type="pct"/>
            <w:shd w:val="clear" w:color="auto" w:fill="auto"/>
          </w:tcPr>
          <w:p w:rsidRPr="00667581" w:rsidR="003D029C" w:rsidP="003D029C" w:rsidRDefault="003D029C" w14:paraId="7C73B198" w14:textId="77777777">
            <w:pPr>
              <w:pStyle w:val="Default"/>
              <w:rPr>
                <w:color w:val="auto"/>
                <w:lang w:val="en-GB" w:eastAsia="ro-RO"/>
              </w:rPr>
            </w:pPr>
          </w:p>
        </w:tc>
        <w:tc>
          <w:tcPr>
            <w:tcW w:w="805" w:type="pct"/>
            <w:shd w:val="clear" w:color="auto" w:fill="auto"/>
          </w:tcPr>
          <w:p w:rsidRPr="00667581" w:rsidR="003D029C" w:rsidP="003D029C" w:rsidRDefault="003D029C" w14:paraId="7D711458" w14:textId="77777777">
            <w:pPr>
              <w:pStyle w:val="Default"/>
              <w:rPr>
                <w:color w:val="auto"/>
                <w:lang w:val="en-GB" w:eastAsia="ro-RO"/>
              </w:rPr>
            </w:pPr>
          </w:p>
        </w:tc>
      </w:tr>
      <w:tr w:rsidRPr="00950CCD" w:rsidR="003D029C" w:rsidTr="48BF0E41" w14:paraId="67078451" w14:textId="77777777">
        <w:tc>
          <w:tcPr>
            <w:tcW w:w="5000" w:type="pct"/>
            <w:gridSpan w:val="3"/>
            <w:shd w:val="clear" w:color="auto" w:fill="auto"/>
          </w:tcPr>
          <w:p w:rsidR="003D029C" w:rsidP="003D029C" w:rsidRDefault="003D029C" w14:paraId="7DBD71E0" w14:textId="777777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p w:rsidRPr="00A764C9" w:rsidR="003D029C" w:rsidP="003D029C" w:rsidRDefault="003D029C" w14:paraId="249075C3" w14:textId="77777777">
            <w:pPr>
              <w:pStyle w:val="NoSpacing"/>
              <w:rPr>
                <w:rFonts w:ascii="Times New Roman" w:hAnsi="Times New Roman"/>
                <w:sz w:val="20"/>
                <w:szCs w:val="20"/>
                <w:lang w:val="ro-RO"/>
              </w:rPr>
            </w:pPr>
            <w:r w:rsidRPr="00A764C9">
              <w:rPr>
                <w:rFonts w:ascii="Times New Roman" w:hAnsi="Times New Roman"/>
                <w:sz w:val="20"/>
                <w:szCs w:val="20"/>
                <w:lang w:val="ro-RO"/>
              </w:rPr>
              <w:t xml:space="preserve">Bucă Marin, Cernigova, Galina, </w:t>
            </w:r>
            <w:r w:rsidRPr="00A764C9">
              <w:rPr>
                <w:rFonts w:ascii="Times New Roman" w:hAnsi="Times New Roman"/>
                <w:i/>
                <w:iCs/>
                <w:sz w:val="20"/>
                <w:szCs w:val="20"/>
                <w:lang w:val="ro-RO"/>
              </w:rPr>
              <w:t>Gramatica practică a limbii ruse</w:t>
            </w:r>
            <w:r w:rsidRPr="00A764C9">
              <w:rPr>
                <w:rFonts w:ascii="Times New Roman" w:hAnsi="Times New Roman"/>
                <w:sz w:val="20"/>
                <w:szCs w:val="20"/>
                <w:lang w:val="ro-RO"/>
              </w:rPr>
              <w:t xml:space="preserve">, Ed. Științifică și Enciclopedică, București, 1980; </w:t>
            </w:r>
          </w:p>
          <w:p w:rsidRPr="00A764C9" w:rsidR="003D029C" w:rsidP="003D029C" w:rsidRDefault="003D029C" w14:paraId="550288BD" w14:textId="77777777">
            <w:pPr>
              <w:pStyle w:val="NoSpacing"/>
              <w:rPr>
                <w:rFonts w:ascii="Times New Roman" w:hAnsi="Times New Roman"/>
                <w:sz w:val="20"/>
                <w:szCs w:val="20"/>
                <w:lang w:val="ro-RO"/>
              </w:rPr>
            </w:pPr>
            <w:r w:rsidRPr="00A764C9">
              <w:rPr>
                <w:rFonts w:ascii="Times New Roman" w:hAnsi="Times New Roman"/>
                <w:sz w:val="20"/>
                <w:szCs w:val="20"/>
                <w:lang w:val="ro-RO"/>
              </w:rPr>
              <w:t xml:space="preserve">Осипова, Ирина, </w:t>
            </w:r>
            <w:r w:rsidRPr="00A764C9">
              <w:rPr>
                <w:rFonts w:ascii="Times New Roman" w:hAnsi="Times New Roman"/>
                <w:i/>
                <w:iCs/>
                <w:sz w:val="20"/>
                <w:szCs w:val="20"/>
                <w:lang w:val="ro-RO"/>
              </w:rPr>
              <w:t>Ключ</w:t>
            </w:r>
            <w:r w:rsidRPr="00A764C9">
              <w:rPr>
                <w:rFonts w:ascii="Times New Roman" w:hAnsi="Times New Roman"/>
                <w:sz w:val="20"/>
                <w:szCs w:val="20"/>
                <w:lang w:val="ro-RO"/>
              </w:rPr>
              <w:t xml:space="preserve">, Ed. Corvina, Budapesta, 2005; Хавронина, С., </w:t>
            </w:r>
            <w:r w:rsidRPr="00A764C9">
              <w:rPr>
                <w:rFonts w:ascii="Times New Roman" w:hAnsi="Times New Roman"/>
                <w:i/>
                <w:iCs/>
                <w:sz w:val="20"/>
                <w:szCs w:val="20"/>
                <w:lang w:val="ro-RO"/>
              </w:rPr>
              <w:t>Русский язык в упражнениях</w:t>
            </w:r>
            <w:r w:rsidRPr="00A764C9">
              <w:rPr>
                <w:rFonts w:ascii="Times New Roman" w:hAnsi="Times New Roman"/>
                <w:sz w:val="20"/>
                <w:szCs w:val="20"/>
                <w:lang w:val="ro-RO"/>
              </w:rPr>
              <w:t xml:space="preserve">, Ed. Прогресс, Moscova, 1983; Эсмантова, Татьяна, </w:t>
            </w:r>
            <w:r w:rsidRPr="00A764C9">
              <w:rPr>
                <w:rFonts w:ascii="Times New Roman" w:hAnsi="Times New Roman"/>
                <w:i/>
                <w:iCs/>
                <w:sz w:val="20"/>
                <w:szCs w:val="20"/>
                <w:lang w:val="ro-RO"/>
              </w:rPr>
              <w:t>Русский язык 5 элементов</w:t>
            </w:r>
            <w:r w:rsidRPr="00A764C9">
              <w:rPr>
                <w:rFonts w:ascii="Times New Roman" w:hAnsi="Times New Roman"/>
                <w:sz w:val="20"/>
                <w:szCs w:val="20"/>
                <w:lang w:val="ro-RO"/>
              </w:rPr>
              <w:t>, Уровень А1 (элементарный), Ed. a 3-a, Ed. Златоуст, Sankt Petersburg, 2013</w:t>
            </w:r>
          </w:p>
          <w:p w:rsidRPr="00A764C9" w:rsidR="003D029C" w:rsidP="003D029C" w:rsidRDefault="003D029C" w14:paraId="5D449EC3" w14:textId="77777777">
            <w:pPr>
              <w:pStyle w:val="NoSpacing"/>
              <w:rPr>
                <w:rFonts w:ascii="Times New Roman" w:hAnsi="Times New Roman"/>
                <w:sz w:val="20"/>
                <w:szCs w:val="20"/>
              </w:rPr>
            </w:pPr>
            <w:r w:rsidRPr="00A764C9">
              <w:rPr>
                <w:rFonts w:ascii="Times New Roman" w:hAnsi="Times New Roman"/>
                <w:sz w:val="20"/>
                <w:szCs w:val="20"/>
              </w:rPr>
              <w:t>Webografie</w:t>
            </w:r>
          </w:p>
          <w:p w:rsidRPr="00A764C9" w:rsidR="003D029C" w:rsidP="003D029C" w:rsidRDefault="003D029C" w14:paraId="2C8B9275" w14:textId="77777777">
            <w:pPr>
              <w:pStyle w:val="NoSpacing"/>
              <w:rPr>
                <w:rFonts w:ascii="Times New Roman" w:hAnsi="Times New Roman"/>
                <w:sz w:val="20"/>
                <w:szCs w:val="20"/>
              </w:rPr>
            </w:pPr>
            <w:r w:rsidRPr="00A764C9">
              <w:rPr>
                <w:rFonts w:ascii="Times New Roman" w:hAnsi="Times New Roman"/>
                <w:sz w:val="20"/>
                <w:szCs w:val="20"/>
                <w:lang w:val="ro-RO"/>
              </w:rPr>
              <w:t>Tetean Diana, Judit Bartalis</w:t>
            </w:r>
            <w:r w:rsidRPr="00A764C9">
              <w:rPr>
                <w:rFonts w:ascii="Times New Roman" w:hAnsi="Times New Roman"/>
                <w:sz w:val="20"/>
                <w:szCs w:val="20"/>
                <w:lang w:val="hu-HU"/>
              </w:rPr>
              <w:t xml:space="preserve">-Bán, </w:t>
            </w:r>
            <w:r w:rsidRPr="00A764C9">
              <w:rPr>
                <w:rFonts w:ascii="Times New Roman" w:hAnsi="Times New Roman"/>
                <w:i/>
                <w:sz w:val="20"/>
                <w:szCs w:val="20"/>
                <w:lang w:val="ro-RO"/>
              </w:rPr>
              <w:t>Seria Autodidact</w:t>
            </w:r>
            <w:r w:rsidRPr="00A764C9">
              <w:rPr>
                <w:rFonts w:ascii="Times New Roman" w:hAnsi="Times New Roman"/>
                <w:sz w:val="20"/>
                <w:szCs w:val="20"/>
                <w:lang w:val="ro-RO"/>
              </w:rPr>
              <w:t xml:space="preserve">, </w:t>
            </w:r>
            <w:r w:rsidRPr="00A764C9">
              <w:rPr>
                <w:rFonts w:ascii="Times New Roman" w:hAnsi="Times New Roman"/>
                <w:i/>
                <w:sz w:val="20"/>
                <w:szCs w:val="20"/>
                <w:lang w:val="ro-RO"/>
              </w:rPr>
              <w:t>Rusă A1-B1</w:t>
            </w:r>
            <w:r w:rsidRPr="00A764C9">
              <w:rPr>
                <w:rFonts w:ascii="Times New Roman" w:hAnsi="Times New Roman"/>
                <w:sz w:val="20"/>
                <w:szCs w:val="20"/>
                <w:lang w:val="ro-RO"/>
              </w:rPr>
              <w:t>, Editura „Echinox”, 2009</w:t>
            </w:r>
          </w:p>
          <w:p w:rsidRPr="00A764C9" w:rsidR="003D029C" w:rsidP="003D029C" w:rsidRDefault="003D029C" w14:paraId="017E5066" w14:textId="77777777">
            <w:pPr>
              <w:pStyle w:val="NoSpacing"/>
              <w:rPr>
                <w:rFonts w:ascii="Times New Roman" w:hAnsi="Times New Roman"/>
                <w:sz w:val="20"/>
                <w:szCs w:val="20"/>
              </w:rPr>
            </w:pPr>
            <w:r w:rsidRPr="00A764C9">
              <w:rPr>
                <w:rFonts w:ascii="Times New Roman" w:hAnsi="Times New Roman"/>
                <w:sz w:val="20"/>
                <w:szCs w:val="20"/>
              </w:rPr>
              <w:t>http://autodidact.granturi.ubbcluj.ro/</w:t>
            </w:r>
          </w:p>
          <w:p w:rsidRPr="00A764C9" w:rsidR="003D029C" w:rsidP="003D029C" w:rsidRDefault="003D029C" w14:paraId="65DF0DE1" w14:textId="77777777">
            <w:pPr>
              <w:pStyle w:val="NoSpacing"/>
              <w:rPr>
                <w:rFonts w:ascii="Times New Roman" w:hAnsi="Times New Roman"/>
                <w:i/>
                <w:iCs/>
                <w:sz w:val="20"/>
                <w:szCs w:val="20"/>
                <w:lang w:val="ru-RU"/>
              </w:rPr>
            </w:pPr>
            <w:r w:rsidRPr="00A764C9">
              <w:rPr>
                <w:rFonts w:ascii="Times New Roman" w:hAnsi="Times New Roman"/>
                <w:i/>
                <w:iCs/>
                <w:sz w:val="20"/>
                <w:szCs w:val="20"/>
                <w:lang w:val="ru-RU"/>
              </w:rPr>
              <w:t>Время говорить по-русски</w:t>
            </w:r>
          </w:p>
          <w:p w:rsidRPr="00A764C9" w:rsidR="003D029C" w:rsidP="003D029C" w:rsidRDefault="003D029C" w14:paraId="39244CC1" w14:textId="77777777">
            <w:pPr>
              <w:pStyle w:val="NoSpacing"/>
              <w:rPr>
                <w:rFonts w:ascii="Times New Roman" w:hAnsi="Times New Roman"/>
                <w:sz w:val="20"/>
                <w:szCs w:val="20"/>
                <w:lang w:val="ro-RO"/>
              </w:rPr>
            </w:pPr>
            <w:r w:rsidRPr="00A764C9">
              <w:rPr>
                <w:rFonts w:ascii="Times New Roman" w:hAnsi="Times New Roman"/>
                <w:sz w:val="20"/>
                <w:szCs w:val="20"/>
                <w:lang w:val="ro-RO"/>
              </w:rPr>
              <w:t>https://www.irlc.msu.ru/irlc_projects/speak-russian/time_new/rus/course/</w:t>
            </w:r>
          </w:p>
          <w:p w:rsidRPr="00A764C9" w:rsidR="003D029C" w:rsidP="003D029C" w:rsidRDefault="003D029C" w14:paraId="46E1FF2F" w14:textId="21F98DB1">
            <w:pPr>
              <w:spacing w:after="0" w:line="240" w:lineRule="auto"/>
              <w:rPr>
                <w:rFonts w:ascii="Times New Roman" w:hAnsi="Times New Roman"/>
                <w:b/>
                <w:bCs/>
                <w:sz w:val="20"/>
                <w:szCs w:val="20"/>
                <w:lang w:val="ro-RO" w:eastAsia="ro-RO"/>
              </w:rPr>
            </w:pPr>
          </w:p>
        </w:tc>
      </w:tr>
    </w:tbl>
    <w:p w:rsidR="48BF0E41" w:rsidRDefault="48BF0E41" w14:paraId="472AF74A" w14:textId="03DC13C8">
      <w:pPr>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lastRenderedPageBreak/>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59512E3F" w14:paraId="18ED0167" w14:textId="77777777">
        <w:trPr>
          <w:trHeight w:val="440"/>
        </w:trPr>
        <w:tc>
          <w:tcPr>
            <w:tcW w:w="836" w:type="pct"/>
            <w:shd w:val="clear" w:color="auto" w:fill="auto"/>
            <w:tcMar/>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Mar/>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Mar/>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Mar/>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950CCD" w:rsidTr="59512E3F" w14:paraId="61BF8032" w14:textId="77777777">
        <w:trPr>
          <w:trHeight w:val="1761"/>
        </w:trPr>
        <w:tc>
          <w:tcPr>
            <w:tcW w:w="836" w:type="pct"/>
            <w:shd w:val="clear" w:color="auto" w:fill="auto"/>
            <w:tcMar/>
          </w:tcPr>
          <w:p w:rsidRPr="00667581" w:rsidR="00950CCD" w:rsidP="00950CCD" w:rsidRDefault="00950CCD" w14:paraId="575B8E81" w14:textId="3C028C83">
            <w:pPr>
              <w:pStyle w:val="Default"/>
              <w:rPr>
                <w:color w:val="auto"/>
                <w:lang w:val="en-GB" w:eastAsia="ro-RO"/>
              </w:rPr>
            </w:pPr>
            <w:r w:rsidRPr="00667581">
              <w:rPr>
                <w:color w:val="auto"/>
                <w:lang w:val="en-GB" w:eastAsia="ro-RO"/>
              </w:rPr>
              <w:t xml:space="preserve">10.4 </w:t>
            </w:r>
            <w:r>
              <w:rPr>
                <w:color w:val="auto"/>
                <w:lang w:val="en-GB" w:eastAsia="ro-RO"/>
              </w:rPr>
              <w:t>Lecture</w:t>
            </w:r>
          </w:p>
          <w:p w:rsidRPr="00667581" w:rsidR="00950CCD" w:rsidP="00950CCD" w:rsidRDefault="00950CCD" w14:paraId="6E76CCA4" w14:textId="77777777">
            <w:pPr>
              <w:pStyle w:val="Default"/>
              <w:rPr>
                <w:color w:val="auto"/>
                <w:lang w:val="en-GB" w:eastAsia="ro-RO"/>
              </w:rPr>
            </w:pPr>
          </w:p>
          <w:p w:rsidRPr="00667581" w:rsidR="00950CCD" w:rsidP="00950CCD" w:rsidRDefault="00950CCD" w14:paraId="5E95B15A" w14:textId="77777777">
            <w:pPr>
              <w:pStyle w:val="Default"/>
              <w:rPr>
                <w:color w:val="auto"/>
                <w:lang w:val="en-GB" w:eastAsia="ro-RO"/>
              </w:rPr>
            </w:pPr>
          </w:p>
        </w:tc>
        <w:tc>
          <w:tcPr>
            <w:tcW w:w="1898" w:type="pct"/>
            <w:shd w:val="clear" w:color="auto" w:fill="auto"/>
            <w:tcMar/>
          </w:tcPr>
          <w:p w:rsidRPr="00667581" w:rsidR="00950CCD" w:rsidP="59512E3F" w:rsidRDefault="00950CCD" w14:paraId="3A73F3BB" w14:textId="01967397">
            <w:pPr>
              <w:pStyle w:val="ListParagraph"/>
              <w:spacing w:after="0" w:line="240" w:lineRule="auto"/>
              <w:ind w:left="0"/>
              <w:rPr>
                <w:rFonts w:ascii="Times New Roman" w:hAnsi="Times New Roman"/>
                <w:sz w:val="20"/>
                <w:szCs w:val="20"/>
                <w:lang w:eastAsia="ro-RO"/>
              </w:rPr>
            </w:pPr>
          </w:p>
        </w:tc>
        <w:tc>
          <w:tcPr>
            <w:tcW w:w="1459" w:type="pct"/>
            <w:shd w:val="clear" w:color="auto" w:fill="auto"/>
            <w:tcMar/>
          </w:tcPr>
          <w:p w:rsidRPr="00667581" w:rsidR="00950CCD" w:rsidP="00950CCD" w:rsidRDefault="00950CCD" w14:paraId="0D5A0E33" w14:textId="1A14672F">
            <w:pPr>
              <w:pStyle w:val="Default"/>
              <w:rPr>
                <w:color w:val="auto"/>
                <w:lang w:val="en-GB" w:eastAsia="ro-RO"/>
              </w:rPr>
            </w:pPr>
          </w:p>
        </w:tc>
        <w:tc>
          <w:tcPr>
            <w:tcW w:w="807" w:type="pct"/>
            <w:shd w:val="clear" w:color="auto" w:fill="auto"/>
            <w:tcMar/>
          </w:tcPr>
          <w:p w:rsidRPr="00667581" w:rsidR="00950CCD" w:rsidP="00950CCD" w:rsidRDefault="00950CCD" w14:paraId="52DF7605" w14:textId="3414B945">
            <w:pPr>
              <w:pStyle w:val="Default"/>
              <w:rPr>
                <w:color w:val="auto"/>
                <w:lang w:val="en-GB" w:eastAsia="ro-RO"/>
              </w:rPr>
            </w:pPr>
          </w:p>
        </w:tc>
      </w:tr>
      <w:tr w:rsidRPr="00667581" w:rsidR="00950CCD" w:rsidTr="59512E3F" w14:paraId="3136E6DF" w14:textId="77777777">
        <w:trPr>
          <w:trHeight w:val="739"/>
        </w:trPr>
        <w:tc>
          <w:tcPr>
            <w:tcW w:w="836" w:type="pct"/>
            <w:shd w:val="clear" w:color="auto" w:fill="auto"/>
            <w:tcMar/>
          </w:tcPr>
          <w:p w:rsidRPr="00667581" w:rsidR="00950CCD" w:rsidP="00950CCD" w:rsidRDefault="00950CCD" w14:paraId="0AA5EAF7" w14:textId="54682F17">
            <w:pPr>
              <w:pStyle w:val="Default"/>
              <w:rPr>
                <w:color w:val="auto"/>
                <w:lang w:val="en-GB" w:eastAsia="ro-RO"/>
              </w:rPr>
            </w:pPr>
            <w:r>
              <w:rPr>
                <w:color w:val="auto"/>
                <w:lang w:val="en-GB" w:eastAsia="ro-RO"/>
              </w:rPr>
              <w:t>10.5 Seminar</w:t>
            </w:r>
          </w:p>
        </w:tc>
        <w:tc>
          <w:tcPr>
            <w:tcW w:w="1898" w:type="pct"/>
            <w:shd w:val="clear" w:color="auto" w:fill="auto"/>
            <w:tcMar/>
          </w:tcPr>
          <w:p w:rsidRPr="00667581" w:rsidR="00950CCD" w:rsidP="48BF0E41" w:rsidRDefault="5D4EF8D0" w14:paraId="2A0C5BF3" w14:textId="402780F7">
            <w:pPr>
              <w:pStyle w:val="ListParagraph"/>
              <w:numPr>
                <w:ilvl w:val="0"/>
                <w:numId w:val="15"/>
              </w:numPr>
              <w:spacing w:after="0" w:line="240" w:lineRule="auto"/>
              <w:rPr>
                <w:rFonts w:ascii="Times New Roman" w:hAnsi="Times New Roman" w:eastAsia="Times New Roman"/>
                <w:sz w:val="20"/>
                <w:szCs w:val="20"/>
                <w:lang w:eastAsia="ro-RO"/>
              </w:rPr>
            </w:pPr>
            <w:r w:rsidRPr="48BF0E41">
              <w:rPr>
                <w:rFonts w:ascii="Times New Roman" w:hAnsi="Times New Roman"/>
                <w:sz w:val="20"/>
                <w:szCs w:val="20"/>
              </w:rPr>
              <w:t>-Capacity to communicate in ordinary, daily-basics like s</w:t>
            </w:r>
            <w:r w:rsidRPr="48BF0E41" w:rsidR="2470414A">
              <w:rPr>
                <w:rFonts w:ascii="Times New Roman" w:hAnsi="Times New Roman"/>
                <w:sz w:val="20"/>
                <w:szCs w:val="20"/>
              </w:rPr>
              <w:t>ituations</w:t>
            </w:r>
            <w:r w:rsidRPr="48BF0E41">
              <w:rPr>
                <w:rFonts w:ascii="Times New Roman" w:hAnsi="Times New Roman"/>
                <w:sz w:val="20"/>
                <w:szCs w:val="20"/>
              </w:rPr>
              <w:t>, descri</w:t>
            </w:r>
            <w:r w:rsidRPr="48BF0E41" w:rsidR="63DC4B5A">
              <w:rPr>
                <w:rFonts w:ascii="Times New Roman" w:hAnsi="Times New Roman"/>
                <w:sz w:val="20"/>
                <w:szCs w:val="20"/>
              </w:rPr>
              <w:t>p</w:t>
            </w:r>
            <w:r w:rsidRPr="48BF0E41">
              <w:rPr>
                <w:rFonts w:ascii="Times New Roman" w:hAnsi="Times New Roman"/>
                <w:sz w:val="20"/>
                <w:szCs w:val="20"/>
              </w:rPr>
              <w:t>tion of the family, other people, of life conditions, of experiences. The main focus being coherent communication.</w:t>
            </w:r>
          </w:p>
          <w:p w:rsidRPr="00667581" w:rsidR="00950CCD" w:rsidP="48BF0E41" w:rsidRDefault="00950CCD" w14:paraId="1A33AF51" w14:textId="15759FF5">
            <w:pPr>
              <w:pStyle w:val="ListParagraph"/>
              <w:numPr>
                <w:ilvl w:val="0"/>
                <w:numId w:val="15"/>
              </w:numPr>
              <w:spacing w:after="0" w:line="240" w:lineRule="auto"/>
              <w:rPr>
                <w:sz w:val="20"/>
                <w:szCs w:val="20"/>
                <w:lang w:eastAsia="ro-RO"/>
              </w:rPr>
            </w:pPr>
          </w:p>
        </w:tc>
        <w:tc>
          <w:tcPr>
            <w:tcW w:w="1459" w:type="pct"/>
            <w:shd w:val="clear" w:color="auto" w:fill="auto"/>
            <w:tcMar/>
          </w:tcPr>
          <w:p w:rsidRPr="00667581" w:rsidR="00950CCD" w:rsidP="48BF0E41" w:rsidRDefault="5D4EF8D0" w14:paraId="449A552C" w14:textId="77777777">
            <w:pPr>
              <w:spacing w:after="0" w:line="240" w:lineRule="auto"/>
              <w:rPr>
                <w:rFonts w:ascii="Times New Roman" w:hAnsi="Times New Roman"/>
                <w:sz w:val="20"/>
                <w:szCs w:val="20"/>
                <w:lang w:val="ro-RO"/>
              </w:rPr>
            </w:pPr>
            <w:r w:rsidRPr="48BF0E41">
              <w:rPr>
                <w:rFonts w:ascii="Times New Roman" w:hAnsi="Times New Roman"/>
                <w:sz w:val="20"/>
                <w:szCs w:val="20"/>
                <w:lang w:val="ro-RO"/>
              </w:rPr>
              <w:t>Quiz</w:t>
            </w:r>
          </w:p>
          <w:p w:rsidRPr="00667581" w:rsidR="00950CCD" w:rsidP="48BF0E41" w:rsidRDefault="5D4EF8D0" w14:paraId="1F05B318" w14:textId="77777777">
            <w:pPr>
              <w:spacing w:after="0" w:line="240" w:lineRule="auto"/>
              <w:rPr>
                <w:rFonts w:ascii="Times New Roman" w:hAnsi="Times New Roman"/>
                <w:sz w:val="20"/>
                <w:szCs w:val="20"/>
                <w:highlight w:val="yellow"/>
                <w:lang w:val="ro-RO"/>
              </w:rPr>
            </w:pPr>
            <w:r w:rsidRPr="48BF0E41">
              <w:rPr>
                <w:rFonts w:ascii="Times New Roman" w:hAnsi="Times New Roman"/>
                <w:sz w:val="20"/>
                <w:szCs w:val="20"/>
                <w:lang w:val="ro-RO"/>
              </w:rPr>
              <w:t>Oral exam</w:t>
            </w:r>
          </w:p>
          <w:p w:rsidRPr="00667581" w:rsidR="00950CCD" w:rsidP="48BF0E41" w:rsidRDefault="00950CCD" w14:paraId="4BD988FF" w14:textId="7BEC14EB">
            <w:pPr>
              <w:pStyle w:val="Default"/>
              <w:rPr>
                <w:color w:val="000000" w:themeColor="text1"/>
                <w:lang w:val="en-GB" w:eastAsia="ro-RO"/>
              </w:rPr>
            </w:pPr>
          </w:p>
        </w:tc>
        <w:tc>
          <w:tcPr>
            <w:tcW w:w="807" w:type="pct"/>
            <w:shd w:val="clear" w:color="auto" w:fill="auto"/>
            <w:tcMar/>
          </w:tcPr>
          <w:p w:rsidRPr="00667581" w:rsidR="00950CCD" w:rsidP="00950CCD" w:rsidRDefault="5D4EF8D0" w14:paraId="73697EEB" w14:textId="13B5417A">
            <w:pPr>
              <w:pStyle w:val="Default"/>
              <w:rPr>
                <w:color w:val="auto"/>
                <w:lang w:val="en-GB" w:eastAsia="ro-RO"/>
              </w:rPr>
            </w:pPr>
            <w:r w:rsidRPr="48BF0E41">
              <w:rPr>
                <w:color w:val="auto"/>
                <w:lang w:val="en-GB" w:eastAsia="ro-RO"/>
              </w:rPr>
              <w:t>100%</w:t>
            </w:r>
          </w:p>
        </w:tc>
      </w:tr>
      <w:tr w:rsidRPr="00667581" w:rsidR="00950CCD" w:rsidTr="59512E3F" w14:paraId="1D8CD76C" w14:textId="77777777">
        <w:trPr>
          <w:trHeight w:val="225"/>
        </w:trPr>
        <w:tc>
          <w:tcPr>
            <w:tcW w:w="5000" w:type="pct"/>
            <w:gridSpan w:val="4"/>
            <w:shd w:val="clear" w:color="auto" w:fill="auto"/>
            <w:tcMar/>
          </w:tcPr>
          <w:p w:rsidRPr="00EC0CC4" w:rsidR="00950CCD" w:rsidP="00950CCD" w:rsidRDefault="00950CCD" w14:paraId="155AA332" w14:textId="3F8D11B1">
            <w:pPr>
              <w:rPr>
                <w:rStyle w:val="BookTitle"/>
                <w:rFonts w:ascii="Times New Roman" w:hAnsi="Times New Roman"/>
                <w:b w:val="0"/>
                <w:bCs w:val="0"/>
                <w:i w:val="0"/>
                <w:iCs w:val="0"/>
                <w:sz w:val="20"/>
                <w:szCs w:val="20"/>
              </w:rPr>
            </w:pPr>
            <w:r w:rsidRPr="008415B4">
              <w:rPr>
                <w:lang w:val="en-GB" w:eastAsia="ro-RO"/>
              </w:rPr>
              <w:t xml:space="preserve">10.6 </w:t>
            </w:r>
            <w:r w:rsidRPr="00EC0CC4">
              <w:rPr>
                <w:rFonts w:ascii="Times New Roman" w:hAnsi="Times New Roman"/>
                <w:sz w:val="20"/>
                <w:szCs w:val="20"/>
                <w:lang w:val="en-GB" w:eastAsia="ro-RO"/>
              </w:rPr>
              <w:t xml:space="preserve">Basic performance standard - </w:t>
            </w:r>
            <w:r w:rsidRPr="00EC0CC4">
              <w:rPr>
                <w:rFonts w:ascii="Times New Roman" w:hAnsi="Times New Roman"/>
                <w:sz w:val="20"/>
                <w:szCs w:val="20"/>
                <w:lang w:val="ro-RO"/>
              </w:rPr>
              <w:t>Simple dialog of a daily-basis subject</w:t>
            </w:r>
            <w:r>
              <w:rPr>
                <w:rFonts w:ascii="Times New Roman" w:hAnsi="Times New Roman"/>
                <w:sz w:val="20"/>
                <w:szCs w:val="20"/>
                <w:lang w:val="ro-RO"/>
              </w:rPr>
              <w:t xml:space="preserve"> and</w:t>
            </w:r>
            <w:r w:rsidRPr="00EC0CC4">
              <w:rPr>
                <w:rFonts w:ascii="Times New Roman" w:hAnsi="Times New Roman"/>
                <w:sz w:val="20"/>
                <w:szCs w:val="20"/>
                <w:lang w:val="ro-RO"/>
              </w:rPr>
              <w:t xml:space="preserve"> </w:t>
            </w:r>
            <w:r w:rsidRPr="00EC0CC4">
              <w:rPr>
                <w:rStyle w:val="BookTitle"/>
                <w:rFonts w:ascii="Times New Roman" w:hAnsi="Times New Roman"/>
                <w:b w:val="0"/>
                <w:bCs w:val="0"/>
                <w:i w:val="0"/>
                <w:iCs w:val="0"/>
                <w:sz w:val="20"/>
                <w:szCs w:val="20"/>
              </w:rPr>
              <w:t>writing a short essay on a daily-basis theme</w:t>
            </w:r>
          </w:p>
          <w:p w:rsidRPr="00EC0CC4" w:rsidR="00950CCD" w:rsidP="00950CCD" w:rsidRDefault="00950CCD" w14:paraId="2243C943" w14:textId="51336B09">
            <w:pPr>
              <w:pStyle w:val="Default"/>
              <w:rPr>
                <w:color w:val="auto"/>
                <w:lang w:val="en-US" w:eastAsia="ro-RO"/>
              </w:rPr>
            </w:pPr>
          </w:p>
        </w:tc>
      </w:tr>
      <w:tr w:rsidRPr="00667581" w:rsidR="00950CCD" w:rsidTr="59512E3F" w14:paraId="66BB4921" w14:textId="77777777">
        <w:trPr>
          <w:trHeight w:val="363"/>
        </w:trPr>
        <w:tc>
          <w:tcPr>
            <w:tcW w:w="5000" w:type="pct"/>
            <w:gridSpan w:val="4"/>
            <w:shd w:val="clear" w:color="auto" w:fill="auto"/>
            <w:tcMar/>
          </w:tcPr>
          <w:p w:rsidRPr="00667581" w:rsidR="00950CCD" w:rsidP="59512E3F" w:rsidRDefault="00950CCD" w14:paraId="58A5ABC3" w14:textId="6F8816F8">
            <w:pPr>
              <w:pStyle w:val="Default"/>
              <w:rPr>
                <w:color w:val="auto"/>
                <w:lang w:val="en"/>
              </w:rPr>
            </w:pPr>
            <w:r w:rsidRPr="59512E3F" w:rsidR="73962BD4">
              <w:rPr>
                <w:color w:val="auto"/>
                <w:lang w:val="en"/>
              </w:rPr>
              <w:t xml:space="preserve">Organizational details, exceptional situation management: </w:t>
            </w: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347F43E4"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24FCC035" w14:paraId="478C3253" w14:textId="59C90EF8">
            <w:pPr>
              <w:spacing w:after="0" w:line="240" w:lineRule="auto"/>
              <w:contextualSpacing/>
              <w:rPr>
                <w:rFonts w:ascii="Times New Roman" w:hAnsi="Times New Roman"/>
                <w:sz w:val="20"/>
                <w:szCs w:val="20"/>
                <w:lang w:val="en-GB" w:eastAsia="ro-RO"/>
              </w:rPr>
            </w:pPr>
            <w:r w:rsidRPr="347F43E4" w:rsidR="24FCC035">
              <w:rPr>
                <w:rFonts w:ascii="Times New Roman" w:hAnsi="Times New Roman"/>
                <w:sz w:val="20"/>
                <w:szCs w:val="20"/>
                <w:lang w:val="en-GB" w:eastAsia="ro-RO"/>
              </w:rPr>
              <w:t>20.0</w:t>
            </w:r>
            <w:r w:rsidRPr="347F43E4" w:rsidR="13350F73">
              <w:rPr>
                <w:rFonts w:ascii="Times New Roman" w:hAnsi="Times New Roman"/>
                <w:sz w:val="20"/>
                <w:szCs w:val="20"/>
                <w:lang w:val="en-GB" w:eastAsia="ro-RO"/>
              </w:rPr>
              <w:t>3</w:t>
            </w:r>
            <w:r w:rsidRPr="347F43E4" w:rsidR="24FCC035">
              <w:rPr>
                <w:rFonts w:ascii="Times New Roman" w:hAnsi="Times New Roman"/>
                <w:sz w:val="20"/>
                <w:szCs w:val="20"/>
                <w:lang w:val="en-GB" w:eastAsia="ro-RO"/>
              </w:rPr>
              <w:t>.202</w:t>
            </w:r>
            <w:r w:rsidRPr="347F43E4" w:rsidR="4B9CD7EA">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89F8618">
            <w:pPr>
              <w:spacing w:after="0" w:line="240" w:lineRule="auto"/>
              <w:contextualSpacing/>
            </w:pPr>
          </w:p>
        </w:tc>
        <w:tc>
          <w:tcPr>
            <w:tcW w:w="1666" w:type="pct"/>
            <w:shd w:val="clear" w:color="auto" w:fill="auto"/>
            <w:tcMar/>
          </w:tcPr>
          <w:p w:rsidRPr="00667581"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48BF0E41">
              <w:rPr>
                <w:rFonts w:ascii="Times New Roman" w:hAnsi="Times New Roman"/>
                <w:sz w:val="20"/>
                <w:szCs w:val="20"/>
                <w:lang w:val="en-GB" w:eastAsia="ro-RO"/>
              </w:rPr>
              <w:t xml:space="preserve">Seminar </w:t>
            </w:r>
            <w:r w:rsidRPr="48BF0E41" w:rsidR="00C2307B">
              <w:rPr>
                <w:rFonts w:ascii="Times New Roman" w:hAnsi="Times New Roman"/>
                <w:sz w:val="20"/>
                <w:szCs w:val="20"/>
                <w:lang w:val="en-GB" w:eastAsia="ro-RO"/>
              </w:rPr>
              <w:t xml:space="preserve">/ Practical course </w:t>
            </w:r>
            <w:r w:rsidRPr="48BF0E41">
              <w:rPr>
                <w:rFonts w:ascii="Times New Roman" w:hAnsi="Times New Roman"/>
                <w:sz w:val="20"/>
                <w:szCs w:val="20"/>
                <w:lang w:val="en-GB" w:eastAsia="ro-RO"/>
              </w:rPr>
              <w:t>tutor’s signature</w:t>
            </w:r>
          </w:p>
          <w:p w:rsidRPr="00667581" w:rsidR="00667581" w:rsidP="48BF0E41" w:rsidRDefault="39321A76" w14:paraId="79BF6847" w14:textId="2E0C0049">
            <w:pPr>
              <w:spacing w:after="0" w:line="240" w:lineRule="auto"/>
              <w:contextualSpacing/>
              <w:rPr>
                <w:rFonts w:ascii="Times New Roman" w:hAnsi="Times New Roman"/>
                <w:lang w:val="en-GB" w:eastAsia="ro-RO"/>
              </w:rPr>
            </w:pPr>
            <w:r>
              <w:rPr>
                <w:noProof/>
              </w:rPr>
              <w:drawing>
                <wp:inline distT="0" distB="0" distL="0" distR="0" wp14:anchorId="1F298EF5" wp14:editId="1A324F88">
                  <wp:extent cx="320675" cy="457200"/>
                  <wp:effectExtent l="0" t="0" r="3175" b="0"/>
                  <wp:docPr id="204337770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a:extLst>
                              <a:ext uri="{28A0092B-C50C-407E-A947-70E740481C1C}">
                                <a14:useLocalDpi xmlns:a14="http://schemas.microsoft.com/office/drawing/2010/main" val="0"/>
                              </a:ext>
                            </a:extLst>
                          </a:blip>
                          <a:stretch>
                            <a:fillRect/>
                          </a:stretch>
                        </pic:blipFill>
                        <pic:spPr bwMode="auto">
                          <a:xfrm>
                            <a:off x="0" y="0"/>
                            <a:ext cx="320675" cy="457200"/>
                          </a:xfrm>
                          <a:prstGeom prst="rect">
                            <a:avLst/>
                          </a:prstGeom>
                          <a:noFill/>
                          <a:ln>
                            <a:noFill/>
                          </a:ln>
                        </pic:spPr>
                      </pic:pic>
                    </a:graphicData>
                  </a:graphic>
                </wp:inline>
              </w:drawing>
            </w:r>
          </w:p>
        </w:tc>
      </w:tr>
      <w:tr w:rsidRPr="00667581" w:rsidR="00667581" w:rsidTr="347F43E4"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667581" w:rsidR="00667581" w:rsidP="48BF0E41" w:rsidRDefault="6C681E5E" w14:paraId="79ADFFD7" w14:textId="39FB94B5">
            <w:pPr>
              <w:spacing w:after="0" w:line="240" w:lineRule="auto"/>
              <w:contextualSpacing/>
              <w:rPr>
                <w:rFonts w:ascii="Times New Roman" w:hAnsi="Times New Roman"/>
                <w:sz w:val="20"/>
                <w:szCs w:val="20"/>
                <w:lang w:val="en-GB" w:eastAsia="ro-RO"/>
              </w:rPr>
            </w:pPr>
            <w:r w:rsidRPr="347F43E4" w:rsidR="7B81A375">
              <w:rPr>
                <w:rFonts w:ascii="Times New Roman" w:hAnsi="Times New Roman"/>
                <w:sz w:val="20"/>
                <w:szCs w:val="20"/>
                <w:lang w:val="en-GB" w:eastAsia="ro-RO"/>
              </w:rPr>
              <w:t>3</w:t>
            </w:r>
            <w:r w:rsidRPr="347F43E4" w:rsidR="08719FF4">
              <w:rPr>
                <w:rFonts w:ascii="Times New Roman" w:hAnsi="Times New Roman"/>
                <w:sz w:val="20"/>
                <w:szCs w:val="20"/>
                <w:lang w:val="en-GB" w:eastAsia="ro-RO"/>
              </w:rPr>
              <w:t>1</w:t>
            </w:r>
            <w:r w:rsidRPr="347F43E4" w:rsidR="6C681E5E">
              <w:rPr>
                <w:rFonts w:ascii="Times New Roman" w:hAnsi="Times New Roman"/>
                <w:sz w:val="20"/>
                <w:szCs w:val="20"/>
                <w:lang w:val="en-GB" w:eastAsia="ro-RO"/>
              </w:rPr>
              <w:t>.03.202</w:t>
            </w:r>
            <w:r w:rsidRPr="347F43E4" w:rsidR="1501DEDE">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347F43E4" w:rsidRDefault="00667581" w14:paraId="5D2437C2" w14:textId="0650BEFC">
            <w:pPr>
              <w:pStyle w:val="Normal"/>
              <w:spacing w:after="0" w:line="240" w:lineRule="auto"/>
              <w:contextualSpacing/>
              <w:rPr/>
            </w:pPr>
            <w:r w:rsidRPr="347F43E4" w:rsidR="00667581">
              <w:rPr>
                <w:rFonts w:ascii="Times New Roman" w:hAnsi="Times New Roman"/>
                <w:sz w:val="20"/>
                <w:szCs w:val="20"/>
                <w:lang w:val="en-GB" w:eastAsia="ro-RO"/>
              </w:rPr>
              <w:t xml:space="preserve"> </w:t>
            </w:r>
            <w:r w:rsidR="0FC2B794">
              <w:drawing>
                <wp:inline wp14:editId="3E00773A" wp14:anchorId="4419864A">
                  <wp:extent cx="914479" cy="457240"/>
                  <wp:effectExtent l="0" t="0" r="0" b="0"/>
                  <wp:docPr id="1387913758" name="" title=""/>
                  <wp:cNvGraphicFramePr>
                    <a:graphicFrameLocks noChangeAspect="1"/>
                  </wp:cNvGraphicFramePr>
                  <a:graphic>
                    <a:graphicData uri="http://schemas.openxmlformats.org/drawingml/2006/picture">
                      <pic:pic>
                        <pic:nvPicPr>
                          <pic:cNvPr id="0" name=""/>
                          <pic:cNvPicPr/>
                        </pic:nvPicPr>
                        <pic:blipFill>
                          <a:blip r:embed="Re37f6bd381314d64">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667581" w:rsidTr="347F43E4"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0"/>
      <w:pgSz w:w="11907" w:h="16839" w:orient="portrait" w:code="9"/>
      <w:pgMar w:top="-2880" w:right="851" w:bottom="284" w:left="1134" w:header="0" w:footer="720" w:gutter="0"/>
      <w:cols w:space="720"/>
      <w:docGrid w:linePitch="360"/>
      <w:footerReference w:type="default" r:id="Rea1d94e432fd4d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70C46" w:rsidP="006A18D1" w:rsidRDefault="00B70C46" w14:paraId="3808A4FC" w14:textId="77777777">
      <w:pPr>
        <w:spacing w:after="0" w:line="240" w:lineRule="auto"/>
      </w:pPr>
      <w:r>
        <w:separator/>
      </w:r>
    </w:p>
  </w:endnote>
  <w:endnote w:type="continuationSeparator" w:id="0">
    <w:p w:rsidR="00B70C46" w:rsidP="006A18D1" w:rsidRDefault="00B70C46" w14:paraId="3B98356A"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9512E3F" w:rsidTr="59512E3F" w14:paraId="3074CB92">
      <w:trPr>
        <w:trHeight w:val="300"/>
      </w:trPr>
      <w:tc>
        <w:tcPr>
          <w:tcW w:w="3305" w:type="dxa"/>
          <w:tcMar/>
        </w:tcPr>
        <w:p w:rsidR="59512E3F" w:rsidP="59512E3F" w:rsidRDefault="59512E3F" w14:paraId="17BEA684" w14:textId="2074E710">
          <w:pPr>
            <w:pStyle w:val="Header"/>
            <w:bidi w:val="0"/>
            <w:ind w:left="-115"/>
            <w:jc w:val="left"/>
            <w:rPr/>
          </w:pPr>
        </w:p>
      </w:tc>
      <w:tc>
        <w:tcPr>
          <w:tcW w:w="3305" w:type="dxa"/>
          <w:tcMar/>
        </w:tcPr>
        <w:p w:rsidR="59512E3F" w:rsidP="59512E3F" w:rsidRDefault="59512E3F" w14:paraId="73F25174" w14:textId="484156A5">
          <w:pPr>
            <w:pStyle w:val="Header"/>
            <w:bidi w:val="0"/>
            <w:jc w:val="center"/>
            <w:rPr/>
          </w:pPr>
        </w:p>
      </w:tc>
      <w:tc>
        <w:tcPr>
          <w:tcW w:w="3305" w:type="dxa"/>
          <w:tcMar/>
        </w:tcPr>
        <w:p w:rsidR="59512E3F" w:rsidP="59512E3F" w:rsidRDefault="59512E3F" w14:paraId="1928B989" w14:textId="5A94F2AC">
          <w:pPr>
            <w:pStyle w:val="Header"/>
            <w:bidi w:val="0"/>
            <w:ind w:right="-115"/>
            <w:jc w:val="right"/>
            <w:rPr/>
          </w:pPr>
        </w:p>
      </w:tc>
    </w:tr>
  </w:tbl>
  <w:p w:rsidR="59512E3F" w:rsidP="59512E3F" w:rsidRDefault="59512E3F" w14:paraId="0F2A9C66" w14:textId="15E644FB">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70C46" w:rsidP="006A18D1" w:rsidRDefault="00B70C46" w14:paraId="0324A112" w14:textId="77777777">
      <w:pPr>
        <w:spacing w:after="0" w:line="240" w:lineRule="auto"/>
      </w:pPr>
      <w:r>
        <w:separator/>
      </w:r>
    </w:p>
  </w:footnote>
  <w:footnote w:type="continuationSeparator" w:id="0">
    <w:p w:rsidR="00B70C46" w:rsidP="006A18D1" w:rsidRDefault="00B70C46" w14:paraId="59A28B0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59512E3F" w:rsidRDefault="00B75A81" w14:paraId="1855ABBC" w14:textId="2366D075">
    <w:pPr>
      <w:pStyle w:val="Header"/>
      <w:jc w:val="center"/>
      <w:rPr/>
    </w:pPr>
    <w:r w:rsidR="59512E3F">
      <w:drawing>
        <wp:inline wp14:editId="59512E3F" wp14:anchorId="3D3F7921">
          <wp:extent cx="5791200" cy="1266825"/>
          <wp:effectExtent l="0" t="0" r="0" b="0"/>
          <wp:docPr id="1340671024" name="" title=""/>
          <wp:cNvGraphicFramePr>
            <a:graphicFrameLocks noChangeAspect="1"/>
          </wp:cNvGraphicFramePr>
          <a:graphic>
            <a:graphicData uri="http://schemas.openxmlformats.org/drawingml/2006/picture">
              <pic:pic>
                <pic:nvPicPr>
                  <pic:cNvPr id="0" name=""/>
                  <pic:cNvPicPr/>
                </pic:nvPicPr>
                <pic:blipFill>
                  <a:blip r:embed="R1a5346b735b64ffe">
                    <a:extLst>
                      <a:ext xmlns:a="http://schemas.openxmlformats.org/drawingml/2006/main" uri="{28A0092B-C50C-407E-A947-70E740481C1C}">
                        <a14:useLocalDpi val="0"/>
                      </a:ext>
                    </a:extLst>
                  </a:blip>
                  <a:stretch>
                    <a:fillRect/>
                  </a:stretch>
                </pic:blipFill>
                <pic:spPr>
                  <a:xfrm>
                    <a:off x="0" y="0"/>
                    <a:ext cx="5791200" cy="1266825"/>
                  </a:xfrm>
                  <a:prstGeom prst="rect">
                    <a:avLst/>
                  </a:prstGeom>
                </pic:spPr>
              </pic:pic>
            </a:graphicData>
          </a:graphic>
        </wp:inline>
      </w:drawing>
    </w:r>
    <w:r w:rsidR="59512E3F">
      <w:rPr/>
      <w:t xml:space="preserve"> </w:t>
    </w:r>
  </w:p>
  <w:p w:rsidR="00B15494" w:rsidP="00FB3528" w:rsidRDefault="00932BD1" w14:paraId="29AA1BFF" w14:textId="73600E1B">
    <w:pPr>
      <w:pStyle w:val="Header"/>
      <w:ind w:firstLine="4050"/>
      <w:jc w:val="both"/>
    </w:pPr>
    <w:r>
      <w:br/>
    </w:r>
    <w:r w:rsidR="48BF0E4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9"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898778359">
    <w:abstractNumId w:val="10"/>
  </w:num>
  <w:num w:numId="2" w16cid:durableId="889998114">
    <w:abstractNumId w:val="4"/>
  </w:num>
  <w:num w:numId="3" w16cid:durableId="1221667932">
    <w:abstractNumId w:val="9"/>
  </w:num>
  <w:num w:numId="4" w16cid:durableId="1834949131">
    <w:abstractNumId w:val="11"/>
  </w:num>
  <w:num w:numId="5" w16cid:durableId="364721853">
    <w:abstractNumId w:val="0"/>
  </w:num>
  <w:num w:numId="6" w16cid:durableId="154952187">
    <w:abstractNumId w:val="8"/>
  </w:num>
  <w:num w:numId="7" w16cid:durableId="2128961620">
    <w:abstractNumId w:val="15"/>
  </w:num>
  <w:num w:numId="8" w16cid:durableId="393086324">
    <w:abstractNumId w:val="7"/>
  </w:num>
  <w:num w:numId="9" w16cid:durableId="890841962">
    <w:abstractNumId w:val="14"/>
  </w:num>
  <w:num w:numId="10" w16cid:durableId="989213275">
    <w:abstractNumId w:val="6"/>
  </w:num>
  <w:num w:numId="11" w16cid:durableId="724330501">
    <w:abstractNumId w:val="17"/>
  </w:num>
  <w:num w:numId="12" w16cid:durableId="1425225790">
    <w:abstractNumId w:val="12"/>
  </w:num>
  <w:num w:numId="13" w16cid:durableId="1400592286">
    <w:abstractNumId w:val="19"/>
  </w:num>
  <w:num w:numId="14" w16cid:durableId="1978215346">
    <w:abstractNumId w:val="13"/>
  </w:num>
  <w:num w:numId="15" w16cid:durableId="1049964102">
    <w:abstractNumId w:val="16"/>
  </w:num>
  <w:num w:numId="16" w16cid:durableId="415714677">
    <w:abstractNumId w:val="2"/>
  </w:num>
  <w:num w:numId="17" w16cid:durableId="1680037494">
    <w:abstractNumId w:val="1"/>
  </w:num>
  <w:num w:numId="18" w16cid:durableId="590506695">
    <w:abstractNumId w:val="5"/>
  </w:num>
  <w:num w:numId="19" w16cid:durableId="1152721001">
    <w:abstractNumId w:val="3"/>
  </w:num>
  <w:num w:numId="20" w16cid:durableId="1542308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en-US" w:vendorID="64" w:dllVersion="0" w:nlCheck="1" w:checkStyle="0" w:appName="MSWord"/>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2CA2"/>
    <w:rsid w:val="000F6752"/>
    <w:rsid w:val="00101877"/>
    <w:rsid w:val="00106AAE"/>
    <w:rsid w:val="001071A1"/>
    <w:rsid w:val="001127A9"/>
    <w:rsid w:val="00117995"/>
    <w:rsid w:val="001204B0"/>
    <w:rsid w:val="00121FD9"/>
    <w:rsid w:val="00125DF0"/>
    <w:rsid w:val="00130849"/>
    <w:rsid w:val="001320A0"/>
    <w:rsid w:val="00134375"/>
    <w:rsid w:val="001426F4"/>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D343F"/>
    <w:rsid w:val="001E0974"/>
    <w:rsid w:val="001E0C43"/>
    <w:rsid w:val="001E37C6"/>
    <w:rsid w:val="001E5D20"/>
    <w:rsid w:val="001F1818"/>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A7AAD"/>
    <w:rsid w:val="002B1EB1"/>
    <w:rsid w:val="002B2D1B"/>
    <w:rsid w:val="002B4B9D"/>
    <w:rsid w:val="002B5EB2"/>
    <w:rsid w:val="002C50FD"/>
    <w:rsid w:val="002C6FD5"/>
    <w:rsid w:val="002D30ED"/>
    <w:rsid w:val="002D55D1"/>
    <w:rsid w:val="002D566F"/>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D029C"/>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B5A2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2C1E"/>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25E01"/>
    <w:rsid w:val="00832567"/>
    <w:rsid w:val="008415B4"/>
    <w:rsid w:val="00852385"/>
    <w:rsid w:val="0085378D"/>
    <w:rsid w:val="00854E4E"/>
    <w:rsid w:val="00855571"/>
    <w:rsid w:val="00855772"/>
    <w:rsid w:val="00856551"/>
    <w:rsid w:val="00856783"/>
    <w:rsid w:val="00857624"/>
    <w:rsid w:val="00862B3F"/>
    <w:rsid w:val="00865148"/>
    <w:rsid w:val="00871C28"/>
    <w:rsid w:val="00873A25"/>
    <w:rsid w:val="008747F8"/>
    <w:rsid w:val="0087582B"/>
    <w:rsid w:val="00877764"/>
    <w:rsid w:val="008805EB"/>
    <w:rsid w:val="00880DF4"/>
    <w:rsid w:val="0088132D"/>
    <w:rsid w:val="00891574"/>
    <w:rsid w:val="008A0237"/>
    <w:rsid w:val="008A3FF1"/>
    <w:rsid w:val="008A459D"/>
    <w:rsid w:val="008A54BE"/>
    <w:rsid w:val="008B5681"/>
    <w:rsid w:val="008B5CC7"/>
    <w:rsid w:val="008C7656"/>
    <w:rsid w:val="008D018F"/>
    <w:rsid w:val="008D057E"/>
    <w:rsid w:val="008E58B5"/>
    <w:rsid w:val="008F1DDC"/>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0CCD"/>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3000"/>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A00B78"/>
    <w:rsid w:val="00A02DD9"/>
    <w:rsid w:val="00A04A8F"/>
    <w:rsid w:val="00A05636"/>
    <w:rsid w:val="00A07F52"/>
    <w:rsid w:val="00A11103"/>
    <w:rsid w:val="00A122A0"/>
    <w:rsid w:val="00A1470B"/>
    <w:rsid w:val="00A22F0A"/>
    <w:rsid w:val="00A25F4A"/>
    <w:rsid w:val="00A31A51"/>
    <w:rsid w:val="00A343A5"/>
    <w:rsid w:val="00A4014E"/>
    <w:rsid w:val="00A40315"/>
    <w:rsid w:val="00A43592"/>
    <w:rsid w:val="00A5618B"/>
    <w:rsid w:val="00A764C9"/>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0C46"/>
    <w:rsid w:val="00B71AE5"/>
    <w:rsid w:val="00B72430"/>
    <w:rsid w:val="00B729C0"/>
    <w:rsid w:val="00B75A81"/>
    <w:rsid w:val="00B80AC4"/>
    <w:rsid w:val="00B80D80"/>
    <w:rsid w:val="00B85AD9"/>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E36EE"/>
    <w:rsid w:val="00BF0740"/>
    <w:rsid w:val="00BF59D5"/>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C5B69"/>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4471"/>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4721"/>
    <w:rsid w:val="00E66A8A"/>
    <w:rsid w:val="00E67978"/>
    <w:rsid w:val="00E71557"/>
    <w:rsid w:val="00E7287C"/>
    <w:rsid w:val="00E73F67"/>
    <w:rsid w:val="00E74C48"/>
    <w:rsid w:val="00E75B1F"/>
    <w:rsid w:val="00E7688D"/>
    <w:rsid w:val="00E81379"/>
    <w:rsid w:val="00E83C9A"/>
    <w:rsid w:val="00E91AD4"/>
    <w:rsid w:val="00EA0CED"/>
    <w:rsid w:val="00EA3FBD"/>
    <w:rsid w:val="00EA65C2"/>
    <w:rsid w:val="00EC0CC4"/>
    <w:rsid w:val="00EC3203"/>
    <w:rsid w:val="00ED2F6F"/>
    <w:rsid w:val="00ED3012"/>
    <w:rsid w:val="00ED3168"/>
    <w:rsid w:val="00ED3A1E"/>
    <w:rsid w:val="00EE60E8"/>
    <w:rsid w:val="00EE7985"/>
    <w:rsid w:val="00F0370E"/>
    <w:rsid w:val="00F04A5D"/>
    <w:rsid w:val="00F06F16"/>
    <w:rsid w:val="00F1125A"/>
    <w:rsid w:val="00F131C4"/>
    <w:rsid w:val="00F17EF7"/>
    <w:rsid w:val="00F21E92"/>
    <w:rsid w:val="00F30769"/>
    <w:rsid w:val="00F33652"/>
    <w:rsid w:val="00F35139"/>
    <w:rsid w:val="00F366EF"/>
    <w:rsid w:val="00F4044F"/>
    <w:rsid w:val="00F40C60"/>
    <w:rsid w:val="00F4192B"/>
    <w:rsid w:val="00F51A55"/>
    <w:rsid w:val="00F52FDA"/>
    <w:rsid w:val="00F53837"/>
    <w:rsid w:val="00F53B1B"/>
    <w:rsid w:val="00F543B8"/>
    <w:rsid w:val="00F5446F"/>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C66C9"/>
    <w:rsid w:val="00FD08E1"/>
    <w:rsid w:val="00FD49A5"/>
    <w:rsid w:val="00FD6630"/>
    <w:rsid w:val="00FE1FC8"/>
    <w:rsid w:val="00FE3653"/>
    <w:rsid w:val="00FF2252"/>
    <w:rsid w:val="00FF4646"/>
    <w:rsid w:val="00FF722D"/>
    <w:rsid w:val="0411F8B6"/>
    <w:rsid w:val="08719FF4"/>
    <w:rsid w:val="0FC2B794"/>
    <w:rsid w:val="13350F73"/>
    <w:rsid w:val="1501DEDE"/>
    <w:rsid w:val="1ADC7851"/>
    <w:rsid w:val="1D2A77AC"/>
    <w:rsid w:val="1E2B5D7B"/>
    <w:rsid w:val="226FE98D"/>
    <w:rsid w:val="2458539C"/>
    <w:rsid w:val="2470414A"/>
    <w:rsid w:val="24FCC035"/>
    <w:rsid w:val="2510AA03"/>
    <w:rsid w:val="26B6A28B"/>
    <w:rsid w:val="273C9895"/>
    <w:rsid w:val="347F43E4"/>
    <w:rsid w:val="39321A76"/>
    <w:rsid w:val="40CE509A"/>
    <w:rsid w:val="4190D4DF"/>
    <w:rsid w:val="4239B4E5"/>
    <w:rsid w:val="45BE376A"/>
    <w:rsid w:val="4694D9AD"/>
    <w:rsid w:val="47B384B2"/>
    <w:rsid w:val="488A5982"/>
    <w:rsid w:val="48BF0E41"/>
    <w:rsid w:val="49014C4D"/>
    <w:rsid w:val="494F5513"/>
    <w:rsid w:val="4B9CD7EA"/>
    <w:rsid w:val="51D94B9C"/>
    <w:rsid w:val="54225139"/>
    <w:rsid w:val="59512E3F"/>
    <w:rsid w:val="5AA963E0"/>
    <w:rsid w:val="5D4EF8D0"/>
    <w:rsid w:val="63DC4B5A"/>
    <w:rsid w:val="65E43714"/>
    <w:rsid w:val="6C681E5E"/>
    <w:rsid w:val="73962BD4"/>
    <w:rsid w:val="7683080D"/>
    <w:rsid w:val="78D8782C"/>
    <w:rsid w:val="7B244381"/>
    <w:rsid w:val="7B81A3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CDC99"/>
  <w15:chartTrackingRefBased/>
  <w15:docId w15:val="{9614EFB9-D532-49E9-8FC4-48586A1B2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character" w:styleId="Emphasis">
    <w:name w:val="Emphasis"/>
    <w:basedOn w:val="DefaultParagraphFont"/>
    <w:uiPriority w:val="20"/>
    <w:qFormat/>
    <w:rsid w:val="00F53837"/>
    <w:rPr>
      <w:i/>
      <w:iCs/>
    </w:rPr>
  </w:style>
  <w:style w:type="character" w:styleId="BookTitle">
    <w:name w:val="Book Title"/>
    <w:basedOn w:val="DefaultParagraphFont"/>
    <w:uiPriority w:val="33"/>
    <w:qFormat/>
    <w:rsid w:val="00EC0CC4"/>
    <w:rPr>
      <w:b/>
      <w:bCs/>
      <w:i/>
      <w:iCs/>
      <w:spacing w:val="5"/>
    </w:rPr>
  </w:style>
  <w:style w:type="table" w:styleId="TableGrid">
    <w:name w:val="Table Grid"/>
    <w:basedOn w:val="TableNormal"/>
    <w:uiPriority w:val="59"/>
    <w:rsid w:val="00EC0CC4"/>
    <w:rPr>
      <w:lang w:val="en-US"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jp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3.png" Id="Re37f6bd381314d64" /><Relationship Type="http://schemas.openxmlformats.org/officeDocument/2006/relationships/footer" Target="footer.xml" Id="Rea1d94e432fd4d14" /></Relationships>
</file>

<file path=word/_rels/header1.xml.rels>&#65279;<?xml version="1.0" encoding="utf-8"?><Relationships xmlns="http://schemas.openxmlformats.org/package/2006/relationships"><Relationship Type="http://schemas.openxmlformats.org/officeDocument/2006/relationships/image" Target="/media/image4.png" Id="R1a5346b735b64ff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14</revision>
  <lastPrinted>2018-04-24T07:05:00.0000000Z</lastPrinted>
  <dcterms:created xsi:type="dcterms:W3CDTF">2021-03-27T21:05:00.0000000Z</dcterms:created>
  <dcterms:modified xsi:type="dcterms:W3CDTF">2024-04-07T05:14:51.3928393Z</dcterms:modified>
</coreProperties>
</file>